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13"/>
          <w:rFonts w:hint="default"/>
        </w:rPr>
      </w:pPr>
      <w:r>
        <w:rPr>
          <w:rStyle w:val="13"/>
          <w:rFonts w:hint="eastAsia" w:eastAsia="黑体"/>
          <w:lang w:val="en-US" w:eastAsia="zh-CN"/>
        </w:rPr>
        <w:t>附件4.</w:t>
      </w:r>
      <w:r>
        <w:rPr>
          <w:rStyle w:val="13"/>
          <w:rFonts w:hint="default"/>
        </w:rPr>
        <w:t>申报须知</w:t>
      </w:r>
      <w:r>
        <w:rPr>
          <w:rStyle w:val="13"/>
          <w:rFonts w:hint="default"/>
        </w:rPr>
        <w:br w:type="textWrapping"/>
      </w:r>
    </w:p>
    <w:p>
      <w:pPr>
        <w:spacing w:line="360" w:lineRule="auto"/>
        <w:jc w:val="left"/>
        <w:rPr>
          <w:rStyle w:val="13"/>
          <w:rFonts w:hint="eastAsia" w:eastAsia="黑体"/>
          <w:lang w:val="en-US" w:eastAsia="zh-CN"/>
        </w:rPr>
      </w:pPr>
      <w:r>
        <w:rPr>
          <w:rStyle w:val="13"/>
          <w:rFonts w:hint="default" w:eastAsia="黑体"/>
          <w:lang w:val="en-US" w:eastAsia="zh-CN"/>
        </w:rPr>
        <w:t>一、国别、资助领域方向</w:t>
      </w:r>
    </w:p>
    <w:p>
      <w:pPr>
        <w:keepNext w:val="0"/>
        <w:keepLines w:val="0"/>
        <w:widowControl/>
        <w:suppressLineNumbers w:val="0"/>
        <w:jc w:val="left"/>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“政府间国际科技创新合作”重点专项202</w:t>
      </w:r>
      <w:r>
        <w:rPr>
          <w:rFonts w:hint="eastAsia" w:ascii="仿宋_GB2312" w:hAnsi="仿宋_GB2312" w:eastAsia="仿宋_GB2312" w:cs="仿宋_GB2312"/>
          <w:b w:val="0"/>
          <w:bCs w:val="0"/>
          <w:color w:val="000000"/>
          <w:sz w:val="31"/>
          <w:szCs w:val="31"/>
          <w:lang w:val="en-US" w:eastAsia="zh-CN"/>
        </w:rPr>
        <w:t>3</w:t>
      </w:r>
      <w:r>
        <w:rPr>
          <w:rFonts w:hint="eastAsia" w:ascii="仿宋_GB2312" w:hAnsi="仿宋_GB2312" w:eastAsia="仿宋_GB2312" w:cs="仿宋_GB2312"/>
          <w:b w:val="0"/>
          <w:bCs w:val="0"/>
          <w:color w:val="000000"/>
          <w:sz w:val="31"/>
          <w:szCs w:val="31"/>
        </w:rPr>
        <w:t>年度第</w:t>
      </w:r>
      <w:r>
        <w:rPr>
          <w:rFonts w:hint="eastAsia" w:ascii="仿宋_GB2312" w:hAnsi="仿宋_GB2312" w:eastAsia="仿宋_GB2312" w:cs="仿宋_GB2312"/>
          <w:b w:val="0"/>
          <w:bCs w:val="0"/>
          <w:color w:val="000000"/>
          <w:sz w:val="31"/>
          <w:szCs w:val="31"/>
          <w:lang w:val="en-US" w:eastAsia="zh-CN"/>
        </w:rPr>
        <w:t>二</w:t>
      </w:r>
      <w:r>
        <w:rPr>
          <w:rFonts w:hint="eastAsia" w:ascii="仿宋_GB2312" w:hAnsi="仿宋_GB2312" w:eastAsia="仿宋_GB2312" w:cs="仿宋_GB2312"/>
          <w:b w:val="0"/>
          <w:bCs w:val="0"/>
          <w:color w:val="000000"/>
          <w:sz w:val="31"/>
          <w:szCs w:val="31"/>
        </w:rPr>
        <w:t>批</w:t>
      </w:r>
      <w:r>
        <w:rPr>
          <w:rFonts w:ascii="仿宋_GB2312" w:hAnsi="仿宋_GB2312" w:eastAsia="仿宋_GB2312" w:cs="仿宋_GB2312"/>
          <w:b w:val="0"/>
          <w:bCs w:val="0"/>
          <w:color w:val="000000"/>
          <w:sz w:val="31"/>
          <w:szCs w:val="31"/>
        </w:rPr>
        <w:t>项目</w:t>
      </w:r>
      <w:r>
        <w:rPr>
          <w:rFonts w:hint="default" w:ascii="仿宋_GB2312" w:hAnsi="仿宋_GB2312" w:eastAsia="仿宋_GB2312" w:cs="仿宋_GB2312"/>
          <w:b w:val="0"/>
          <w:bCs w:val="0"/>
          <w:color w:val="000000"/>
          <w:sz w:val="31"/>
          <w:szCs w:val="31"/>
          <w:lang w:val="en-US" w:eastAsia="zh-CN"/>
        </w:rPr>
        <w:t>将设立1</w:t>
      </w:r>
      <w:r>
        <w:rPr>
          <w:rFonts w:hint="eastAsia" w:ascii="仿宋_GB2312" w:hAnsi="仿宋_GB2312" w:eastAsia="仿宋_GB2312" w:cs="仿宋_GB2312"/>
          <w:b w:val="0"/>
          <w:bCs w:val="0"/>
          <w:color w:val="000000"/>
          <w:sz w:val="31"/>
          <w:szCs w:val="31"/>
          <w:lang w:val="en-US" w:eastAsia="zh-CN"/>
        </w:rPr>
        <w:t>2</w:t>
      </w:r>
      <w:r>
        <w:rPr>
          <w:rFonts w:hint="default" w:ascii="仿宋_GB2312" w:hAnsi="仿宋_GB2312" w:eastAsia="仿宋_GB2312" w:cs="仿宋_GB2312"/>
          <w:b w:val="0"/>
          <w:bCs w:val="0"/>
          <w:color w:val="000000"/>
          <w:sz w:val="31"/>
          <w:szCs w:val="31"/>
          <w:lang w:val="en-US" w:eastAsia="zh-CN"/>
        </w:rPr>
        <w:t>个指南方向，支持与</w:t>
      </w:r>
      <w:r>
        <w:rPr>
          <w:rFonts w:hint="eastAsia" w:ascii="仿宋_GB2312" w:hAnsi="仿宋_GB2312" w:eastAsia="仿宋_GB2312" w:cs="仿宋_GB2312"/>
          <w:b w:val="0"/>
          <w:bCs w:val="0"/>
          <w:color w:val="000000"/>
          <w:sz w:val="31"/>
          <w:szCs w:val="31"/>
          <w:lang w:val="en-US" w:eastAsia="zh-CN"/>
        </w:rPr>
        <w:t>16</w:t>
      </w:r>
      <w:r>
        <w:rPr>
          <w:rFonts w:hint="default" w:ascii="仿宋_GB2312" w:hAnsi="仿宋_GB2312" w:eastAsia="仿宋_GB2312" w:cs="仿宋_GB2312"/>
          <w:b w:val="0"/>
          <w:bCs w:val="0"/>
          <w:color w:val="000000"/>
          <w:sz w:val="31"/>
          <w:szCs w:val="31"/>
          <w:lang w:val="en-US" w:eastAsia="zh-CN"/>
        </w:rPr>
        <w:t>个国家、地区、国际组织和多边合作机制开展科技合作，拟支持项目数约1</w:t>
      </w:r>
      <w:r>
        <w:rPr>
          <w:rFonts w:hint="eastAsia" w:ascii="仿宋_GB2312" w:hAnsi="仿宋_GB2312" w:eastAsia="仿宋_GB2312" w:cs="仿宋_GB2312"/>
          <w:b w:val="0"/>
          <w:bCs w:val="0"/>
          <w:color w:val="000000"/>
          <w:sz w:val="31"/>
          <w:szCs w:val="31"/>
          <w:lang w:val="en-US" w:eastAsia="zh-CN"/>
        </w:rPr>
        <w:t>57</w:t>
      </w:r>
      <w:r>
        <w:rPr>
          <w:rFonts w:hint="default" w:ascii="仿宋_GB2312" w:hAnsi="仿宋_GB2312" w:eastAsia="仿宋_GB2312" w:cs="仿宋_GB2312"/>
          <w:b w:val="0"/>
          <w:bCs w:val="0"/>
          <w:color w:val="000000"/>
          <w:sz w:val="31"/>
          <w:szCs w:val="31"/>
          <w:lang w:val="en-US" w:eastAsia="zh-CN"/>
        </w:rPr>
        <w:t>个，国拨经费总概算3.</w:t>
      </w:r>
      <w:r>
        <w:rPr>
          <w:rFonts w:hint="eastAsia" w:ascii="仿宋_GB2312" w:hAnsi="仿宋_GB2312" w:eastAsia="仿宋_GB2312" w:cs="仿宋_GB2312"/>
          <w:b w:val="0"/>
          <w:bCs w:val="0"/>
          <w:color w:val="000000"/>
          <w:sz w:val="31"/>
          <w:szCs w:val="31"/>
          <w:lang w:val="en-US" w:eastAsia="zh-CN"/>
        </w:rPr>
        <w:t>14</w:t>
      </w:r>
      <w:r>
        <w:rPr>
          <w:rFonts w:hint="default" w:ascii="仿宋_GB2312" w:hAnsi="仿宋_GB2312" w:eastAsia="仿宋_GB2312" w:cs="仿宋_GB2312"/>
          <w:b w:val="0"/>
          <w:bCs w:val="0"/>
          <w:color w:val="000000"/>
          <w:sz w:val="31"/>
          <w:szCs w:val="31"/>
          <w:lang w:val="en-US" w:eastAsia="zh-CN"/>
        </w:rPr>
        <w:t>8亿元人民币。每个项目实施周期一般为2~3 年。</w:t>
      </w:r>
      <w:r>
        <w:rPr>
          <w:rFonts w:hint="eastAsia" w:ascii="仿宋_GB2312" w:hAnsi="仿宋_GB2312" w:eastAsia="仿宋_GB2312" w:cs="仿宋_GB2312"/>
          <w:b w:val="0"/>
          <w:bCs w:val="0"/>
          <w:color w:val="000000"/>
          <w:sz w:val="31"/>
          <w:szCs w:val="31"/>
        </w:rPr>
        <w:t>（详细内容请查看附件1）：</w:t>
      </w:r>
    </w:p>
    <w:tbl>
      <w:tblPr>
        <w:tblStyle w:val="6"/>
        <w:tblW w:w="4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553"/>
        <w:gridCol w:w="76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20" w:type="pct"/>
            <w:vAlign w:val="center"/>
          </w:tcPr>
          <w:p>
            <w:pPr>
              <w:spacing w:line="400" w:lineRule="exact"/>
              <w:jc w:val="center"/>
              <w:rPr>
                <w:rFonts w:ascii="Times New Roman" w:hAnsi="Times New Roman" w:cs="Times New Roman" w:eastAsiaTheme="minorEastAsia"/>
                <w:b/>
                <w:sz w:val="24"/>
              </w:rPr>
            </w:pPr>
            <w:r>
              <w:rPr>
                <w:rFonts w:ascii="Times New Roman" w:cs="Times New Roman" w:hAnsiTheme="minorEastAsia" w:eastAsiaTheme="minorEastAsia"/>
                <w:b/>
                <w:sz w:val="24"/>
              </w:rPr>
              <w:t>序号</w:t>
            </w:r>
          </w:p>
        </w:tc>
        <w:tc>
          <w:tcPr>
            <w:tcW w:w="1003" w:type="pct"/>
            <w:vAlign w:val="center"/>
          </w:tcPr>
          <w:p>
            <w:pPr>
              <w:spacing w:line="400" w:lineRule="exact"/>
              <w:jc w:val="center"/>
              <w:rPr>
                <w:rFonts w:ascii="Times New Roman" w:cs="Times New Roman" w:hAnsiTheme="minorEastAsia" w:eastAsiaTheme="minorEastAsia"/>
                <w:b/>
                <w:sz w:val="24"/>
              </w:rPr>
            </w:pPr>
            <w:r>
              <w:rPr>
                <w:rFonts w:ascii="Times New Roman" w:cs="Times New Roman" w:hAnsiTheme="minorEastAsia" w:eastAsiaTheme="minorEastAsia"/>
                <w:b/>
                <w:sz w:val="24"/>
              </w:rPr>
              <w:t>合作</w:t>
            </w:r>
            <w:r>
              <w:rPr>
                <w:rFonts w:hint="eastAsia" w:ascii="Times New Roman" w:cs="Times New Roman" w:hAnsiTheme="minorEastAsia" w:eastAsiaTheme="minorEastAsia"/>
                <w:b/>
                <w:sz w:val="24"/>
              </w:rPr>
              <w:t>国别</w:t>
            </w:r>
          </w:p>
        </w:tc>
        <w:tc>
          <w:tcPr>
            <w:tcW w:w="3008" w:type="pct"/>
            <w:vAlign w:val="center"/>
          </w:tcPr>
          <w:p>
            <w:pPr>
              <w:spacing w:line="400" w:lineRule="exact"/>
              <w:jc w:val="center"/>
              <w:rPr>
                <w:rFonts w:ascii="Times New Roman" w:hAnsi="Times New Roman" w:cs="Times New Roman" w:eastAsiaTheme="minorEastAsia"/>
                <w:b/>
                <w:sz w:val="24"/>
              </w:rPr>
            </w:pPr>
            <w:r>
              <w:rPr>
                <w:rFonts w:ascii="Times New Roman" w:cs="Times New Roman" w:hAnsiTheme="minorEastAsia" w:eastAsiaTheme="minorEastAsia"/>
                <w:b/>
                <w:sz w:val="24"/>
              </w:rPr>
              <w:t>资助领域方向</w:t>
            </w:r>
          </w:p>
        </w:tc>
        <w:tc>
          <w:tcPr>
            <w:tcW w:w="667" w:type="pct"/>
            <w:vAlign w:val="center"/>
          </w:tcPr>
          <w:p>
            <w:pPr>
              <w:spacing w:line="400" w:lineRule="exact"/>
              <w:jc w:val="center"/>
              <w:rPr>
                <w:rFonts w:ascii="Times New Roman" w:hAnsi="Times New Roman" w:cs="Times New Roman" w:eastAsiaTheme="minorEastAsia"/>
                <w:b/>
                <w:sz w:val="24"/>
              </w:rPr>
            </w:pPr>
            <w:r>
              <w:rPr>
                <w:rFonts w:hint="eastAsia" w:ascii="Times New Roman" w:cs="Times New Roman" w:hAnsiTheme="minorEastAsia" w:eastAsiaTheme="minorEastAsia"/>
                <w:b/>
                <w:sz w:val="24"/>
              </w:rPr>
              <w:t>总</w:t>
            </w:r>
            <w:r>
              <w:rPr>
                <w:rFonts w:ascii="Times New Roman" w:cs="Times New Roman" w:hAnsiTheme="minorEastAsia" w:eastAsiaTheme="minorEastAsia"/>
                <w:b/>
                <w:sz w:val="24"/>
              </w:rPr>
              <w:t>金额（万元）</w:t>
            </w:r>
            <w:r>
              <w:rPr>
                <w:rFonts w:ascii="Times New Roman" w:hAnsi="Times New Roman" w:cs="Times New Roman" w:eastAsiaTheme="minorEastAsia"/>
                <w:b/>
                <w:sz w:val="24"/>
              </w:rPr>
              <w:t>/</w:t>
            </w:r>
            <w:r>
              <w:rPr>
                <w:rFonts w:ascii="Times New Roman" w:cs="Times New Roman" w:hAnsiTheme="minorEastAsia" w:eastAsiaTheme="minorEastAsia"/>
                <w:b/>
                <w:sz w:val="24"/>
              </w:rPr>
              <w:t>资助数（个）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1.1</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古巴</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食品科学、健康和生物医学、环境科学。</w:t>
            </w:r>
          </w:p>
        </w:tc>
        <w:tc>
          <w:tcPr>
            <w:tcW w:w="667"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1080/6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1.2</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美国</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医药卫生、能源、环境、农业技术、基础科学。</w:t>
            </w:r>
          </w:p>
        </w:tc>
        <w:tc>
          <w:tcPr>
            <w:tcW w:w="667"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10500/70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1.3</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日本</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医药卫生、环境、基础科学等。</w:t>
            </w:r>
          </w:p>
        </w:tc>
        <w:tc>
          <w:tcPr>
            <w:tcW w:w="667" w:type="pct"/>
            <w:vAlign w:val="center"/>
          </w:tcPr>
          <w:p>
            <w:pPr>
              <w:keepNext w:val="0"/>
              <w:keepLines w:val="0"/>
              <w:widowControl/>
              <w:suppressLineNumbers w:val="0"/>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3000/10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ascii="Times New Roman" w:hAnsi="Times New Roman" w:cs="Times New Roman" w:eastAsiaTheme="minorEastAsia"/>
                <w:kern w:val="2"/>
                <w:sz w:val="24"/>
                <w:szCs w:val="24"/>
                <w:lang w:val="en-US" w:eastAsia="zh-CN" w:bidi="ar-SA"/>
              </w:rPr>
              <w:t>1.4</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埃及</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缓解气候变化影响、食品与农业、先进制造、可再生能源、信息通讯技术、卫生、液体和固体废物管理</w:t>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 xml:space="preserve">水。 </w:t>
            </w:r>
          </w:p>
        </w:tc>
        <w:tc>
          <w:tcPr>
            <w:tcW w:w="667"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2000/10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spacing w:line="400" w:lineRule="exact"/>
              <w:ind w:firstLine="120" w:firstLineChars="50"/>
              <w:rPr>
                <w:rFonts w:ascii="Times New Roman" w:hAnsi="Times New Roman" w:cs="Times New Roman" w:eastAsiaTheme="minorEastAsia"/>
                <w:sz w:val="24"/>
              </w:rPr>
            </w:pPr>
            <w:r>
              <w:rPr>
                <w:rFonts w:hint="eastAsia" w:ascii="Times New Roman" w:hAnsi="Times New Roman" w:cs="Times New Roman" w:eastAsiaTheme="minorEastAsia"/>
                <w:sz w:val="24"/>
              </w:rPr>
              <w:t>1.5</w:t>
            </w:r>
          </w:p>
        </w:tc>
        <w:tc>
          <w:tcPr>
            <w:tcW w:w="1003" w:type="pct"/>
            <w:vAlign w:val="center"/>
          </w:tcPr>
          <w:p>
            <w:pPr>
              <w:keepNext w:val="0"/>
              <w:keepLines w:val="0"/>
              <w:widowControl/>
              <w:suppressLineNumbers w:val="0"/>
              <w:jc w:val="center"/>
              <w:rPr>
                <w:rFonts w:hint="default" w:ascii="仿宋_GB2312" w:hAnsi="仿宋_GB2312" w:eastAsia="仿宋_GB2312" w:cs="仿宋_GB2312"/>
                <w:b w:val="0"/>
                <w:bCs w:val="0"/>
                <w:color w:val="000000"/>
                <w:sz w:val="31"/>
                <w:szCs w:val="31"/>
                <w:lang w:val="en-US" w:eastAsia="zh-CN"/>
              </w:rPr>
            </w:pPr>
            <w:r>
              <w:rPr>
                <w:rFonts w:hint="default" w:cs="Times New Roman" w:asciiTheme="minorEastAsia" w:hAnsiTheme="minorEastAsia" w:eastAsiaTheme="minorEastAsia"/>
                <w:sz w:val="24"/>
                <w:lang w:val="en-US" w:eastAsia="zh-CN"/>
              </w:rPr>
              <w:t>以色列</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不限</w:t>
            </w:r>
          </w:p>
        </w:tc>
        <w:tc>
          <w:tcPr>
            <w:tcW w:w="667" w:type="pct"/>
            <w:vAlign w:val="center"/>
          </w:tcPr>
          <w:p>
            <w:pPr>
              <w:keepNext w:val="0"/>
              <w:keepLines w:val="0"/>
              <w:widowControl/>
              <w:suppressLineNumbers w:val="0"/>
              <w:ind w:firstLine="240" w:firstLineChars="100"/>
              <w:jc w:val="left"/>
              <w:rPr>
                <w:rFonts w:hint="default" w:ascii="仿宋_GB2312" w:hAnsi="仿宋_GB2312" w:eastAsia="仿宋_GB2312" w:cs="仿宋_GB2312"/>
                <w:b w:val="0"/>
                <w:bCs w:val="0"/>
                <w:color w:val="000000"/>
                <w:sz w:val="31"/>
                <w:szCs w:val="31"/>
                <w:lang w:val="en-US" w:eastAsia="zh-CN"/>
              </w:rPr>
            </w:pPr>
            <w:r>
              <w:rPr>
                <w:rFonts w:hint="eastAsia" w:cs="Times New Roman" w:asciiTheme="minorEastAsia" w:hAnsiTheme="minorEastAsia" w:eastAsiaTheme="minorEastAsia"/>
                <w:sz w:val="24"/>
                <w:lang w:val="en-US" w:eastAsia="zh-CN"/>
              </w:rPr>
              <w:t>2000/≤10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1.6</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阿拉伯</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生命健康、人工智能、绿色低碳、信息通信、空间信息。</w:t>
            </w:r>
          </w:p>
        </w:tc>
        <w:tc>
          <w:tcPr>
            <w:tcW w:w="667" w:type="pct"/>
            <w:vAlign w:val="center"/>
          </w:tcPr>
          <w:p>
            <w:pPr>
              <w:spacing w:line="400" w:lineRule="exact"/>
              <w:jc w:val="center"/>
              <w:rPr>
                <w:rFonts w:hint="default" w:ascii="Times New Roman" w:cs="Times New Roman" w:hAnsiTheme="minorEastAsia" w:eastAsiaTheme="minorEastAsia"/>
                <w:sz w:val="24"/>
                <w:lang w:val="en-US" w:eastAsia="zh-CN"/>
              </w:rPr>
            </w:pPr>
            <w:r>
              <w:rPr>
                <w:rFonts w:hint="eastAsia" w:cs="Times New Roman" w:asciiTheme="minorEastAsia" w:hAnsiTheme="minorEastAsia" w:eastAsiaTheme="minorEastAsia"/>
                <w:sz w:val="24"/>
                <w:lang w:val="en-US" w:eastAsia="zh-CN"/>
              </w:rPr>
              <w:t>10</w:t>
            </w:r>
            <w:r>
              <w:rPr>
                <w:rFonts w:hint="default" w:cs="Times New Roman" w:asciiTheme="minorEastAsia" w:hAnsiTheme="minorEastAsia" w:eastAsiaTheme="minorEastAsia"/>
                <w:sz w:val="24"/>
                <w:lang w:val="en-US" w:eastAsia="zh-CN"/>
              </w:rPr>
              <w:t>00/</w:t>
            </w:r>
            <w:r>
              <w:rPr>
                <w:rFonts w:hint="eastAsia" w:cs="Times New Roman" w:asciiTheme="minorEastAsia" w:hAnsiTheme="minorEastAsia" w:eastAsiaTheme="minorEastAsia"/>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1.7</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非洲</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不限</w:t>
            </w:r>
          </w:p>
        </w:tc>
        <w:tc>
          <w:tcPr>
            <w:tcW w:w="667" w:type="pct"/>
            <w:vAlign w:val="center"/>
          </w:tcPr>
          <w:p>
            <w:pPr>
              <w:spacing w:line="400" w:lineRule="exact"/>
              <w:jc w:val="center"/>
              <w:rPr>
                <w:rFonts w:hint="default" w:ascii="Times New Roman" w:eastAsia="宋体" w:cs="Times New Roman" w:hAnsiTheme="minorEastAsia"/>
                <w:sz w:val="24"/>
                <w:lang w:val="en-US" w:eastAsia="zh-CN"/>
              </w:rPr>
            </w:pPr>
            <w:r>
              <w:rPr>
                <w:rFonts w:hint="eastAsia" w:cs="Times New Roman" w:hAnsiTheme="minorEastAsia" w:eastAsiaTheme="minorEastAsia"/>
                <w:sz w:val="24"/>
                <w:lang w:val="en-US" w:eastAsia="zh-CN"/>
              </w:rPr>
              <w:t>200</w:t>
            </w:r>
            <w:r>
              <w:rPr>
                <w:rFonts w:hint="eastAsia" w:ascii="Times New Roman" w:cs="Times New Roman" w:hAnsiTheme="minorEastAsia" w:eastAsiaTheme="minorEastAsia"/>
                <w:sz w:val="24"/>
                <w:lang w:val="en-US" w:eastAsia="zh-CN"/>
              </w:rPr>
              <w:t>0/</w:t>
            </w:r>
            <w:r>
              <w:rPr>
                <w:rFonts w:hint="eastAsia" w:cs="Times New Roman" w:hAnsiTheme="minorEastAsia" w:eastAsiaTheme="minorEastAsia"/>
                <w:sz w:val="24"/>
                <w:lang w:val="en-US" w:eastAsia="zh-CN"/>
              </w:rPr>
              <w:t>≤</w:t>
            </w:r>
            <w:r>
              <w:rPr>
                <w:rFonts w:hint="eastAsia" w:ascii="Arial" w:hAnsi="Arial" w:cs="Arial"/>
                <w:i w:val="0"/>
                <w:iCs w:val="0"/>
                <w:caps w:val="0"/>
                <w:color w:val="333333"/>
                <w:spacing w:val="0"/>
                <w:sz w:val="19"/>
                <w:szCs w:val="19"/>
                <w:shd w:val="clear" w:fill="FFFFFF"/>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1.8</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英国</w:t>
            </w:r>
          </w:p>
        </w:tc>
        <w:tc>
          <w:tcPr>
            <w:tcW w:w="3008" w:type="pct"/>
            <w:vAlign w:val="center"/>
          </w:tcPr>
          <w:p>
            <w:pPr>
              <w:keepNext w:val="0"/>
              <w:keepLines w:val="0"/>
              <w:widowControl/>
              <w:suppressLineNumbers w:val="0"/>
              <w:jc w:val="left"/>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b w:val="0"/>
                <w:bCs w:val="0"/>
                <w:sz w:val="24"/>
                <w:lang w:val="en-US" w:eastAsia="zh-CN"/>
              </w:rPr>
              <w:t xml:space="preserve">1. 潜在传染病病原体研究。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 xml:space="preserve">研究范围包括：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1</w:t>
            </w:r>
            <w:r>
              <w:rPr>
                <w:rFonts w:hint="eastAsia" w:cs="Times New Roman" w:asciiTheme="minorEastAsia" w:hAnsiTheme="minorEastAsia" w:eastAsiaTheme="minorEastAsia"/>
                <w:sz w:val="24"/>
                <w:lang w:val="en-US" w:eastAsia="zh-CN"/>
              </w:rPr>
              <w:t xml:space="preserve">）易感性和致病性研究，以识别具有进入新宿主物种风险的新发病原体；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2</w:t>
            </w:r>
            <w:r>
              <w:rPr>
                <w:rFonts w:hint="eastAsia" w:cs="Times New Roman" w:asciiTheme="minorEastAsia" w:hAnsiTheme="minorEastAsia" w:eastAsiaTheme="minorEastAsia"/>
                <w:sz w:val="24"/>
                <w:lang w:val="en-US" w:eastAsia="zh-CN"/>
              </w:rPr>
              <w:t xml:space="preserve">）评估现有跨种传播的机制和路径；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3</w:t>
            </w:r>
            <w:r>
              <w:rPr>
                <w:rFonts w:hint="eastAsia" w:cs="Times New Roman" w:asciiTheme="minorEastAsia" w:hAnsiTheme="minorEastAsia" w:eastAsiaTheme="minorEastAsia"/>
                <w:sz w:val="24"/>
                <w:lang w:val="en-US" w:eastAsia="zh-CN"/>
              </w:rPr>
              <w:t xml:space="preserve">）宿主与病原体相互作用以及这种相互作用如何推动病原体和免疫适应，包括共同感染、治疗或预防干预的影响；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4</w:t>
            </w:r>
            <w:r>
              <w:rPr>
                <w:rFonts w:hint="eastAsia" w:cs="Times New Roman" w:asciiTheme="minorEastAsia" w:hAnsiTheme="minorEastAsia" w:eastAsiaTheme="minorEastAsia"/>
                <w:sz w:val="24"/>
                <w:lang w:val="en-US" w:eastAsia="zh-CN"/>
              </w:rPr>
              <w:t xml:space="preserve">）分别或比较研究人类和动物宿主保护或易感性的免疫基础。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上述研究领域还可能</w:t>
            </w:r>
            <w:r>
              <w:rPr>
                <w:rFonts w:hint="eastAsia" w:cs="Times New Roman" w:asciiTheme="minorEastAsia" w:hAnsiTheme="minorEastAsia" w:eastAsiaTheme="minorEastAsia"/>
                <w:b w:val="0"/>
                <w:bCs w:val="0"/>
                <w:sz w:val="24"/>
                <w:lang w:val="en-US" w:eastAsia="zh-CN"/>
              </w:rPr>
              <w:t>延伸</w:t>
            </w:r>
            <w:r>
              <w:rPr>
                <w:rFonts w:hint="eastAsia" w:cs="Times New Roman" w:asciiTheme="minorEastAsia" w:hAnsiTheme="minorEastAsia" w:eastAsiaTheme="minorEastAsia"/>
                <w:sz w:val="24"/>
                <w:lang w:val="en-US" w:eastAsia="zh-CN"/>
              </w:rPr>
              <w:t xml:space="preserve">至以下方向（不作为项目成果要求）：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1</w:t>
            </w:r>
            <w:r>
              <w:rPr>
                <w:rFonts w:hint="eastAsia" w:cs="Times New Roman" w:asciiTheme="minorEastAsia" w:hAnsiTheme="minorEastAsia" w:eastAsiaTheme="minorEastAsia"/>
                <w:sz w:val="24"/>
                <w:lang w:val="en-US" w:eastAsia="zh-CN"/>
              </w:rPr>
              <w:t xml:space="preserve">）新的细胞感染模型（如类器官），使用新的工具和技术支持未来研究；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2</w:t>
            </w:r>
            <w:r>
              <w:rPr>
                <w:rFonts w:hint="eastAsia" w:cs="Times New Roman" w:asciiTheme="minorEastAsia" w:hAnsiTheme="minorEastAsia" w:eastAsiaTheme="minorEastAsia"/>
                <w:sz w:val="24"/>
                <w:lang w:val="en-US" w:eastAsia="zh-CN"/>
              </w:rPr>
              <w:t xml:space="preserve">）使用开源模型和工具加强对新发传染病的监测与检测；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3</w:t>
            </w:r>
            <w:r>
              <w:rPr>
                <w:rFonts w:hint="eastAsia" w:cs="Times New Roman" w:asciiTheme="minorEastAsia" w:hAnsiTheme="minorEastAsia" w:eastAsiaTheme="minorEastAsia"/>
                <w:sz w:val="24"/>
                <w:lang w:val="en-US" w:eastAsia="zh-CN"/>
              </w:rPr>
              <w:t>）早期阶段研究药物和疫苗开发新靶点。不支持的领域：人口监测；有关植物或作物健康或疾病的研究；应用或“功 能获得”的研究，以增强病原体的毒力或使非病原体具有毒性 增加病原体的传播性或改变病原体的宿主范围。</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b w:val="0"/>
                <w:bCs w:val="0"/>
                <w:sz w:val="24"/>
                <w:lang w:val="en-US" w:eastAsia="zh-CN"/>
              </w:rPr>
              <w:t xml:space="preserve">2. </w:t>
            </w:r>
            <w:r>
              <w:rPr>
                <w:rFonts w:hint="eastAsia" w:cs="Times New Roman" w:asciiTheme="minorEastAsia" w:hAnsiTheme="minorEastAsia" w:eastAsiaTheme="minorEastAsia"/>
                <w:b w:val="0"/>
                <w:bCs w:val="0"/>
                <w:sz w:val="24"/>
                <w:lang w:val="en-US" w:eastAsia="zh-CN"/>
              </w:rPr>
              <w:t>从产生到演进的病原体耐药性机制。项目重点关注多重耐药（</w:t>
            </w:r>
            <w:r>
              <w:rPr>
                <w:rFonts w:hint="default" w:cs="Times New Roman" w:asciiTheme="minorEastAsia" w:hAnsiTheme="minorEastAsia" w:eastAsiaTheme="minorEastAsia"/>
                <w:b w:val="0"/>
                <w:bCs w:val="0"/>
                <w:sz w:val="24"/>
                <w:lang w:val="en-US" w:eastAsia="zh-CN"/>
              </w:rPr>
              <w:t>MDR</w:t>
            </w:r>
            <w:r>
              <w:rPr>
                <w:rFonts w:hint="eastAsia" w:cs="Times New Roman" w:asciiTheme="minorEastAsia" w:hAnsiTheme="minorEastAsia" w:eastAsiaTheme="minorEastAsia"/>
                <w:b w:val="0"/>
                <w:bCs w:val="0"/>
                <w:sz w:val="24"/>
                <w:lang w:val="en-US" w:eastAsia="zh-CN"/>
              </w:rPr>
              <w:t>）或高毒力多重耐药病原体。</w:t>
            </w:r>
            <w:r>
              <w:rPr>
                <w:rFonts w:hint="eastAsia" w:cs="Times New Roman" w:asciiTheme="minorEastAsia" w:hAnsiTheme="minorEastAsia" w:eastAsiaTheme="minorEastAsia"/>
                <w:sz w:val="24"/>
                <w:lang w:val="en-US" w:eastAsia="zh-CN"/>
              </w:rPr>
              <w:t xml:space="preserve">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 xml:space="preserve">研究范围包括：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1</w:t>
            </w:r>
            <w:r>
              <w:rPr>
                <w:rFonts w:hint="eastAsia" w:cs="Times New Roman" w:asciiTheme="minorEastAsia" w:hAnsiTheme="minorEastAsia" w:eastAsiaTheme="minorEastAsia"/>
                <w:sz w:val="24"/>
                <w:lang w:val="en-US" w:eastAsia="zh-CN"/>
              </w:rPr>
              <w:t>）病原体耐药性（跨细菌、真菌和寄生虫）的分子机制，例如克隆形成和传播、细菌防御系统在革兰阴性菌抗微生物耐药性克隆形成中的作用；</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2</w:t>
            </w:r>
            <w:r>
              <w:rPr>
                <w:rFonts w:hint="eastAsia" w:cs="Times New Roman" w:asciiTheme="minorEastAsia" w:hAnsiTheme="minorEastAsia" w:eastAsiaTheme="minorEastAsia"/>
                <w:sz w:val="24"/>
                <w:lang w:val="en-US" w:eastAsia="zh-CN"/>
              </w:rPr>
              <w:t xml:space="preserve">）抗宿主防御机制，如临床 </w:t>
            </w:r>
            <w:r>
              <w:rPr>
                <w:rFonts w:hint="default" w:cs="Times New Roman" w:asciiTheme="minorEastAsia" w:hAnsiTheme="minorEastAsia" w:eastAsiaTheme="minorEastAsia"/>
                <w:sz w:val="24"/>
                <w:lang w:val="en-US" w:eastAsia="zh-CN"/>
              </w:rPr>
              <w:t xml:space="preserve">MDR </w:t>
            </w:r>
            <w:r>
              <w:rPr>
                <w:rFonts w:hint="eastAsia" w:cs="Times New Roman" w:asciiTheme="minorEastAsia" w:hAnsiTheme="minorEastAsia" w:eastAsiaTheme="minorEastAsia"/>
                <w:sz w:val="24"/>
                <w:lang w:val="en-US" w:eastAsia="zh-CN"/>
              </w:rPr>
              <w:t xml:space="preserve">细菌操纵宿主反应的机制、抗宿主效应因子的结构基础和细胞靶点，以及感染过程中宿主和病原体代谢的适应性和灵活性的动态变化。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b/>
                <w:bCs/>
                <w:sz w:val="24"/>
                <w:lang w:val="en-US" w:eastAsia="zh-CN"/>
              </w:rPr>
              <w:t>不支持</w:t>
            </w:r>
            <w:r>
              <w:rPr>
                <w:rFonts w:hint="eastAsia" w:cs="Times New Roman" w:asciiTheme="minorEastAsia" w:hAnsiTheme="minorEastAsia" w:eastAsiaTheme="minorEastAsia"/>
                <w:sz w:val="24"/>
                <w:lang w:val="en-US" w:eastAsia="zh-CN"/>
              </w:rPr>
              <w:t>的领域： 对用于治疗的抗生素或抗病毒药物产生耐药性的应用研究。</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b w:val="0"/>
                <w:bCs w:val="0"/>
                <w:sz w:val="24"/>
                <w:lang w:val="en-US" w:eastAsia="zh-CN"/>
              </w:rPr>
              <w:t>3. 确定多重耐药病原体的驱动因素。 该领域项目应采取多学科、系统性方法，分析人类和动物系 统之间的相互作用及社会、行为和经济因素的重要性。</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 xml:space="preserve">研究范围包括：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1</w:t>
            </w:r>
            <w:r>
              <w:rPr>
                <w:rFonts w:hint="eastAsia" w:cs="Times New Roman" w:asciiTheme="minorEastAsia" w:hAnsiTheme="minorEastAsia" w:eastAsiaTheme="minorEastAsia"/>
                <w:sz w:val="24"/>
                <w:lang w:val="en-US" w:eastAsia="zh-CN"/>
              </w:rPr>
              <w:t xml:space="preserve">）基于开源监测数据资源和多组学、微生态等新技术，研究区域性抗微生物耐药的发生、传播、演变机制；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2</w:t>
            </w:r>
            <w:r>
              <w:rPr>
                <w:rFonts w:hint="eastAsia" w:cs="Times New Roman" w:asciiTheme="minorEastAsia" w:hAnsiTheme="minorEastAsia" w:eastAsiaTheme="minorEastAsia"/>
                <w:sz w:val="24"/>
                <w:lang w:val="en-US" w:eastAsia="zh-CN"/>
              </w:rPr>
              <w:t>）在大健康计划背景下，研究重要耐药菌</w:t>
            </w:r>
            <w:r>
              <w:rPr>
                <w:rFonts w:hint="default" w:cs="Times New Roman" w:asciiTheme="minorEastAsia" w:hAnsiTheme="minorEastAsia" w:eastAsiaTheme="minorEastAsia"/>
                <w:sz w:val="24"/>
                <w:lang w:val="en-US" w:eastAsia="zh-CN"/>
              </w:rPr>
              <w:t>/</w:t>
            </w:r>
            <w:r>
              <w:rPr>
                <w:rFonts w:hint="eastAsia" w:cs="Times New Roman" w:asciiTheme="minorEastAsia" w:hAnsiTheme="minorEastAsia" w:eastAsiaTheme="minorEastAsia"/>
                <w:sz w:val="24"/>
                <w:lang w:val="en-US" w:eastAsia="zh-CN"/>
              </w:rPr>
              <w:t xml:space="preserve">基因在人类、食品动物和其他动物中产生（包括发现新的耐药决定因素）、传播和分布的分子机制； </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w:t>
            </w:r>
            <w:r>
              <w:rPr>
                <w:rFonts w:hint="default" w:cs="Times New Roman" w:asciiTheme="minorEastAsia" w:hAnsiTheme="minorEastAsia" w:eastAsiaTheme="minorEastAsia"/>
                <w:sz w:val="24"/>
                <w:lang w:val="en-US" w:eastAsia="zh-CN"/>
              </w:rPr>
              <w:t>3</w:t>
            </w:r>
            <w:r>
              <w:rPr>
                <w:rFonts w:hint="eastAsia" w:cs="Times New Roman" w:asciiTheme="minorEastAsia" w:hAnsiTheme="minorEastAsia" w:eastAsiaTheme="minorEastAsia"/>
                <w:sz w:val="24"/>
                <w:lang w:val="en-US" w:eastAsia="zh-CN"/>
              </w:rPr>
              <w:t>）抗药性在卫生、食品、环境及农业等不同领域的新机制。</w:t>
            </w:r>
          </w:p>
        </w:tc>
        <w:tc>
          <w:tcPr>
            <w:tcW w:w="667" w:type="pct"/>
            <w:vAlign w:val="center"/>
          </w:tcPr>
          <w:p>
            <w:pPr>
              <w:keepNext w:val="0"/>
              <w:keepLines w:val="0"/>
              <w:widowControl/>
              <w:suppressLineNumbers w:val="0"/>
              <w:jc w:val="left"/>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1、1300/3</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2、1300/3</w:t>
            </w:r>
            <w:r>
              <w:rPr>
                <w:rFonts w:hint="eastAsia" w:cs="Times New Roman" w:asciiTheme="minorEastAsia" w:hAnsiTheme="minorEastAsia" w:eastAsiaTheme="minorEastAsia"/>
                <w:sz w:val="24"/>
                <w:lang w:val="en-US" w:eastAsia="zh-CN"/>
              </w:rPr>
              <w:br w:type="textWrapping"/>
            </w:r>
            <w:r>
              <w:rPr>
                <w:rFonts w:hint="eastAsia" w:cs="Times New Roman" w:asciiTheme="minorEastAsia" w:hAnsiTheme="minorEastAsia" w:eastAsiaTheme="minorEastAsia"/>
                <w:sz w:val="24"/>
                <w:lang w:val="en-US" w:eastAsia="zh-CN"/>
              </w:rPr>
              <w:t>3、2500/2</w:t>
            </w:r>
          </w:p>
          <w:p>
            <w:pPr>
              <w:keepNext w:val="0"/>
              <w:keepLines w:val="0"/>
              <w:widowControl/>
              <w:suppressLineNumbers w:val="0"/>
              <w:jc w:val="left"/>
              <w:rPr>
                <w:rFonts w:hint="default" w:cs="Times New Roman" w:asciiTheme="minorEastAsia" w:hAnsiTheme="minorEastAsia" w:eastAsiaTheme="minorEastAsia"/>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1.9</w:t>
            </w:r>
          </w:p>
        </w:tc>
        <w:tc>
          <w:tcPr>
            <w:tcW w:w="1003" w:type="pct"/>
            <w:vAlign w:val="center"/>
          </w:tcPr>
          <w:p>
            <w:pPr>
              <w:keepNext w:val="0"/>
              <w:keepLines w:val="0"/>
              <w:widowControl/>
              <w:suppressLineNumbers w:val="0"/>
              <w:jc w:val="center"/>
              <w:rPr>
                <w:rFonts w:asciiTheme="minorEastAsia" w:hAnsiTheme="minorEastAsia" w:eastAsiaTheme="minorEastAsia" w:cstheme="minorBidi"/>
                <w:sz w:val="24"/>
              </w:rPr>
            </w:pPr>
            <w:r>
              <w:rPr>
                <w:rFonts w:hint="default" w:cs="Times New Roman" w:asciiTheme="minorEastAsia" w:hAnsiTheme="minorEastAsia" w:eastAsiaTheme="minorEastAsia"/>
                <w:sz w:val="24"/>
                <w:lang w:val="en-US" w:eastAsia="zh-CN"/>
              </w:rPr>
              <w:t>马耳他</w:t>
            </w:r>
          </w:p>
        </w:tc>
        <w:tc>
          <w:tcPr>
            <w:tcW w:w="3008" w:type="pct"/>
            <w:vAlign w:val="center"/>
          </w:tcPr>
          <w:p>
            <w:pPr>
              <w:keepNext w:val="0"/>
              <w:keepLines w:val="0"/>
              <w:widowControl/>
              <w:suppressLineNumbers w:val="0"/>
              <w:jc w:val="left"/>
              <w:rPr>
                <w:rFonts w:hint="eastAsia"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 xml:space="preserve">1. 健康，重点关注：癌症；细胞疗法；药物开发；中药；数字工具支持医疗。 </w:t>
            </w:r>
          </w:p>
          <w:p>
            <w:pPr>
              <w:keepNext w:val="0"/>
              <w:keepLines w:val="0"/>
              <w:widowControl/>
              <w:suppressLineNumbers w:val="0"/>
              <w:jc w:val="left"/>
              <w:rPr>
                <w:rFonts w:hint="eastAsia"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2. </w:t>
            </w:r>
            <w:r>
              <w:rPr>
                <w:rFonts w:hint="eastAsia" w:cs="Times New Roman" w:asciiTheme="minorEastAsia" w:hAnsiTheme="minorEastAsia" w:eastAsiaTheme="minorEastAsia"/>
                <w:sz w:val="24"/>
                <w:lang w:val="en-US" w:eastAsia="zh-CN"/>
              </w:rPr>
              <w:t xml:space="preserve">绿色和蓝色经济转型，重点关注：可再生能源；可持续交通；智能制造；海洋与海事技术。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3. </w:t>
            </w:r>
            <w:r>
              <w:rPr>
                <w:rFonts w:hint="eastAsia" w:cs="Times New Roman" w:asciiTheme="minorEastAsia" w:hAnsiTheme="minorEastAsia" w:eastAsiaTheme="minorEastAsia"/>
                <w:sz w:val="24"/>
                <w:lang w:val="en-US" w:eastAsia="zh-CN"/>
              </w:rPr>
              <w:t>数字技术，重点关注：广泛意义上的数字技术；交叉领域的数字技术。</w:t>
            </w:r>
            <w:r>
              <w:rPr>
                <w:rFonts w:hint="default" w:cs="Times New Roman" w:asciiTheme="minorEastAsia" w:hAnsiTheme="minorEastAsia" w:eastAsiaTheme="minorEastAsia"/>
                <w:sz w:val="24"/>
                <w:lang w:val="en-US" w:eastAsia="zh-CN"/>
              </w:rPr>
              <w:t xml:space="preserve"> </w:t>
            </w:r>
          </w:p>
          <w:p>
            <w:pPr>
              <w:keepNext w:val="0"/>
              <w:keepLines w:val="0"/>
              <w:widowControl/>
              <w:suppressLineNumbers w:val="0"/>
              <w:jc w:val="left"/>
              <w:rPr>
                <w:rFonts w:asciiTheme="minorEastAsia" w:hAnsiTheme="minorEastAsia" w:eastAsiaTheme="minorEastAsia" w:cstheme="minorBidi"/>
                <w:sz w:val="24"/>
              </w:rPr>
            </w:pPr>
            <w:r>
              <w:rPr>
                <w:rFonts w:hint="default" w:cs="Times New Roman" w:asciiTheme="minorEastAsia" w:hAnsiTheme="minorEastAsia" w:eastAsiaTheme="minorEastAsia"/>
                <w:sz w:val="24"/>
                <w:lang w:val="en-US" w:eastAsia="zh-CN"/>
              </w:rPr>
              <w:t>（4）智能体育装备：物联网技术、运动数据感知技术、体育机器人、体育装备新型材料等。</w:t>
            </w:r>
          </w:p>
        </w:tc>
        <w:tc>
          <w:tcPr>
            <w:tcW w:w="667" w:type="pct"/>
            <w:vAlign w:val="center"/>
          </w:tcPr>
          <w:p>
            <w:pPr>
              <w:spacing w:line="400" w:lineRule="exact"/>
              <w:jc w:val="center"/>
              <w:rPr>
                <w:rFonts w:hint="eastAsia" w:ascii="Times New Roman" w:cs="Times New Roman" w:hAnsiTheme="minorEastAsia" w:eastAsiaTheme="minorEastAsia"/>
                <w:sz w:val="24"/>
                <w:lang w:val="en-US" w:eastAsia="zh-CN"/>
              </w:rPr>
            </w:pPr>
            <w:r>
              <w:rPr>
                <w:rFonts w:hint="eastAsia" w:cs="Times New Roman" w:hAnsiTheme="minorEastAsia" w:eastAsiaTheme="minorEastAsia"/>
                <w:sz w:val="24"/>
                <w:lang w:val="en-US" w:eastAsia="zh-CN"/>
              </w:rPr>
              <w:t>640</w:t>
            </w:r>
            <w:r>
              <w:rPr>
                <w:rFonts w:hint="eastAsia" w:ascii="Times New Roman" w:cs="Times New Roman" w:hAnsiTheme="minorEastAsia" w:eastAsiaTheme="minorEastAsia"/>
                <w:sz w:val="24"/>
              </w:rPr>
              <w:t>/</w:t>
            </w:r>
            <w:r>
              <w:rPr>
                <w:rFonts w:hint="eastAsia" w:cs="Times New Roman" w:hAnsiTheme="minorEastAsia" w:eastAsiaTheme="minorEastAsia"/>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2.0</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欧洲国家联合实验室</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生物多样性；极地科学；信息通信技术——面向智能制造的人工智能；个性化医疗和用于医疗器械的创新型生物材料</w:t>
            </w:r>
            <w:r>
              <w:rPr>
                <w:rFonts w:hint="eastAsia" w:cs="Times New Roman" w:asciiTheme="minorEastAsia" w:hAnsiTheme="minorEastAsia" w:eastAsiaTheme="minorEastAsia"/>
                <w:sz w:val="24"/>
                <w:lang w:val="en-US" w:eastAsia="zh-CN"/>
              </w:rPr>
              <w:t>。</w:t>
            </w:r>
          </w:p>
        </w:tc>
        <w:tc>
          <w:tcPr>
            <w:tcW w:w="667" w:type="pct"/>
            <w:vAlign w:val="center"/>
          </w:tcPr>
          <w:p>
            <w:pPr>
              <w:keepNext w:val="0"/>
              <w:keepLines w:val="0"/>
              <w:widowControl/>
              <w:suppressLineNumbers w:val="0"/>
              <w:ind w:firstLine="240" w:firstLineChars="100"/>
              <w:jc w:val="left"/>
              <w:rPr>
                <w:rFonts w:hint="default" w:eastAsia="宋体" w:cs="Times New Roman" w:asciiTheme="minorEastAsia" w:hAnsiTheme="minorEastAsia"/>
                <w:sz w:val="24"/>
                <w:lang w:val="en-US" w:eastAsia="zh-CN"/>
              </w:rPr>
            </w:pPr>
            <w:r>
              <w:rPr>
                <w:rFonts w:hint="eastAsia" w:cs="Times New Roman" w:eastAsiaTheme="minorEastAsia"/>
                <w:sz w:val="24"/>
                <w:lang w:val="en-US" w:eastAsia="zh-CN"/>
              </w:rPr>
              <w:t>3000</w:t>
            </w:r>
            <w:r>
              <w:rPr>
                <w:rFonts w:hint="default" w:ascii="Times New Roman" w:hAnsi="Times New Roman" w:cs="Times New Roman" w:eastAsiaTheme="minorEastAsia"/>
                <w:sz w:val="24"/>
                <w:lang w:val="en-US" w:eastAsia="zh-CN"/>
              </w:rPr>
              <w:t>/</w:t>
            </w:r>
            <w:r>
              <w:rPr>
                <w:rFonts w:hint="eastAsia" w:cs="Times New Roman" w:eastAsiaTheme="minorEastAsia"/>
                <w:sz w:val="24"/>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2.1</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意大利</w:t>
            </w:r>
          </w:p>
        </w:tc>
        <w:tc>
          <w:tcPr>
            <w:tcW w:w="3008" w:type="pct"/>
            <w:vAlign w:val="center"/>
          </w:tcPr>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 xml:space="preserve">（1）信息和通讯技术； </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（2）能源科技，包括新能源开发、清洁煤利用、可持续能源利用；</w:t>
            </w:r>
          </w:p>
          <w:p>
            <w:pPr>
              <w:keepNext w:val="0"/>
              <w:keepLines w:val="0"/>
              <w:widowControl/>
              <w:suppressLineNumbers w:val="0"/>
              <w:jc w:val="left"/>
              <w:rPr>
                <w:rFonts w:hint="default" w:cs="Times New Roman" w:asciiTheme="minorEastAsia" w:hAnsiTheme="minorEastAsia" w:eastAsiaTheme="minorEastAsia"/>
                <w:sz w:val="24"/>
                <w:lang w:val="en-US" w:eastAsia="zh-CN"/>
              </w:rPr>
            </w:pPr>
            <w:r>
              <w:rPr>
                <w:rFonts w:hint="default" w:cs="Times New Roman" w:asciiTheme="minorEastAsia" w:hAnsiTheme="minorEastAsia" w:eastAsiaTheme="minorEastAsia"/>
                <w:sz w:val="24"/>
                <w:lang w:val="en-US" w:eastAsia="zh-CN"/>
              </w:rPr>
              <w:t>（3）环境科技，包括环保工程、水资源管理、污染和毁林防治；</w:t>
            </w:r>
          </w:p>
          <w:p>
            <w:pPr>
              <w:keepNext w:val="0"/>
              <w:keepLines w:val="0"/>
              <w:widowControl/>
              <w:suppressLineNumbers w:val="0"/>
              <w:jc w:val="left"/>
              <w:rPr>
                <w:rFonts w:asciiTheme="minorEastAsia" w:hAnsiTheme="minorEastAsia" w:eastAsiaTheme="minorEastAsia" w:cstheme="minorBidi"/>
                <w:sz w:val="24"/>
              </w:rPr>
            </w:pPr>
            <w:r>
              <w:rPr>
                <w:rFonts w:hint="default" w:cs="Times New Roman" w:asciiTheme="minorEastAsia" w:hAnsiTheme="minorEastAsia" w:eastAsiaTheme="minorEastAsia"/>
                <w:sz w:val="24"/>
                <w:lang w:val="en-US" w:eastAsia="zh-CN"/>
              </w:rPr>
              <w:t>（4）材料科学，包括无机非金属材料、生物材料和纳米材料。</w:t>
            </w:r>
          </w:p>
        </w:tc>
        <w:tc>
          <w:tcPr>
            <w:tcW w:w="667" w:type="pct"/>
            <w:vAlign w:val="center"/>
          </w:tcPr>
          <w:p>
            <w:pPr>
              <w:spacing w:line="400" w:lineRule="exact"/>
              <w:jc w:val="center"/>
              <w:rPr>
                <w:rFonts w:hint="default" w:ascii="Times New Roman" w:hAnsi="Times New Roman" w:cs="Times New Roman" w:eastAsiaTheme="minorEastAsia"/>
                <w:sz w:val="24"/>
                <w:lang w:val="en-US" w:eastAsia="zh-CN"/>
              </w:rPr>
            </w:pPr>
            <w:r>
              <w:rPr>
                <w:rFonts w:hint="eastAsia" w:cs="Times New Roman" w:eastAsiaTheme="minorEastAsia"/>
                <w:sz w:val="24"/>
                <w:lang w:val="en-US" w:eastAsia="zh-CN"/>
              </w:rPr>
              <w:t>160</w:t>
            </w:r>
            <w:r>
              <w:rPr>
                <w:rFonts w:ascii="Times New Roman" w:hAnsi="Times New Roman" w:cs="Times New Roman" w:eastAsiaTheme="minorEastAsia"/>
                <w:sz w:val="24"/>
              </w:rPr>
              <w:t>/</w:t>
            </w:r>
            <w:r>
              <w:rPr>
                <w:rFonts w:hint="eastAsia" w:cs="Times New Roman" w:eastAsiaTheme="minorEastAsia"/>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0" w:type="pct"/>
            <w:vAlign w:val="center"/>
          </w:tcPr>
          <w:p>
            <w:pPr>
              <w:pStyle w:val="14"/>
              <w:spacing w:line="400" w:lineRule="exact"/>
              <w:ind w:left="105" w:firstLine="0" w:firstLineChars="0"/>
              <w:rPr>
                <w:rFonts w:hint="eastAsia" w:ascii="Times New Roman" w:hAnsi="Times New Roman" w:cs="Times New Roman"/>
                <w:sz w:val="24"/>
                <w:szCs w:val="24"/>
              </w:rPr>
            </w:pPr>
            <w:r>
              <w:rPr>
                <w:rFonts w:hint="eastAsia" w:ascii="Times New Roman" w:hAnsi="Times New Roman" w:cs="Times New Roman"/>
                <w:sz w:val="24"/>
                <w:szCs w:val="24"/>
              </w:rPr>
              <w:t>2.2</w:t>
            </w:r>
          </w:p>
        </w:tc>
        <w:tc>
          <w:tcPr>
            <w:tcW w:w="1003"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r>
              <w:rPr>
                <w:rFonts w:hint="eastAsia" w:cs="Times New Roman" w:asciiTheme="minorEastAsia" w:hAnsiTheme="minorEastAsia" w:eastAsiaTheme="minorEastAsia"/>
                <w:sz w:val="24"/>
                <w:lang w:val="en-US" w:eastAsia="zh-CN"/>
              </w:rPr>
              <w:t>东盟</w:t>
            </w:r>
          </w:p>
        </w:tc>
        <w:tc>
          <w:tcPr>
            <w:tcW w:w="3008" w:type="pct"/>
            <w:vAlign w:val="top"/>
          </w:tcPr>
          <w:p>
            <w:pPr>
              <w:keepNext w:val="0"/>
              <w:keepLines w:val="0"/>
              <w:widowControl/>
              <w:suppressLineNumbers w:val="0"/>
              <w:jc w:val="left"/>
              <w:rPr>
                <w:rFonts w:asciiTheme="minorEastAsia" w:hAnsiTheme="minorEastAsia" w:eastAsiaTheme="minorEastAsia" w:cstheme="minorBidi"/>
                <w:sz w:val="24"/>
              </w:rPr>
            </w:pPr>
            <w:r>
              <w:rPr>
                <w:rFonts w:hint="default" w:cs="Times New Roman" w:asciiTheme="minorEastAsia" w:hAnsiTheme="minorEastAsia" w:eastAsiaTheme="minorEastAsia"/>
                <w:sz w:val="24"/>
                <w:lang w:val="en-US" w:eastAsia="zh-CN"/>
              </w:rPr>
              <w:t>工业 4.0（如利用信息技术提升先进制造价值链）、 数字基础设施（如 5G/6G 组件）、人工智能与先进数据分析、清洁能源（如太阳能、风能、氢能）、医疗技术（如疫苗、诊断方式、 药物、医疗器械）。</w:t>
            </w:r>
          </w:p>
        </w:tc>
        <w:tc>
          <w:tcPr>
            <w:tcW w:w="667" w:type="pct"/>
            <w:vAlign w:val="center"/>
          </w:tcPr>
          <w:p>
            <w:pPr>
              <w:spacing w:line="400" w:lineRule="exact"/>
              <w:jc w:val="center"/>
              <w:rPr>
                <w:rFonts w:hint="default" w:ascii="Times New Roman" w:hAnsi="Times New Roman" w:cs="Times New Roman" w:eastAsiaTheme="minorEastAsia"/>
                <w:sz w:val="24"/>
                <w:lang w:val="en-US" w:eastAsia="zh-CN"/>
              </w:rPr>
            </w:pPr>
            <w:r>
              <w:rPr>
                <w:rFonts w:hint="eastAsia" w:cs="Times New Roman" w:eastAsiaTheme="minorEastAsia"/>
                <w:sz w:val="24"/>
                <w:lang w:val="en-US" w:eastAsia="zh-CN"/>
              </w:rPr>
              <w:t>1</w:t>
            </w:r>
            <w:r>
              <w:rPr>
                <w:rFonts w:hint="eastAsia" w:ascii="Times New Roman" w:hAnsi="Times New Roman" w:cs="Times New Roman" w:eastAsiaTheme="minorEastAsia"/>
                <w:sz w:val="24"/>
              </w:rPr>
              <w:t>000/</w:t>
            </w:r>
            <w:r>
              <w:rPr>
                <w:rFonts w:hint="eastAsia" w:cs="Times New Roman" w:eastAsiaTheme="minorEastAsia"/>
                <w:sz w:val="24"/>
                <w:lang w:val="en-US" w:eastAsia="zh-CN"/>
              </w:rPr>
              <w:t>≤5</w:t>
            </w:r>
          </w:p>
        </w:tc>
      </w:tr>
    </w:tbl>
    <w:p>
      <w:pPr>
        <w:keepNext w:val="0"/>
        <w:keepLines w:val="0"/>
        <w:widowControl/>
        <w:suppressLineNumbers w:val="0"/>
        <w:jc w:val="left"/>
        <w:rPr>
          <w:rFonts w:hint="eastAsia" w:ascii="仿宋_GB2312" w:hAnsi="仿宋_GB2312" w:eastAsia="仿宋_GB2312" w:cs="仿宋_GB2312"/>
          <w:b w:val="0"/>
          <w:bCs w:val="0"/>
          <w:color w:val="000000"/>
          <w:sz w:val="31"/>
          <w:szCs w:val="31"/>
        </w:rPr>
      </w:pPr>
    </w:p>
    <w:p>
      <w:pPr>
        <w:keepNext w:val="0"/>
        <w:keepLines w:val="0"/>
        <w:widowControl/>
        <w:suppressLineNumbers w:val="0"/>
        <w:jc w:val="left"/>
        <w:rPr>
          <w:rFonts w:hint="eastAsia" w:ascii="仿宋_GB2312" w:hAnsi="仿宋_GB2312" w:eastAsia="仿宋_GB2312" w:cs="仿宋_GB2312"/>
          <w:b w:val="0"/>
          <w:bCs w:val="0"/>
          <w:color w:val="000000"/>
          <w:sz w:val="31"/>
          <w:szCs w:val="31"/>
        </w:rPr>
      </w:pPr>
      <w:r>
        <w:rPr>
          <w:rFonts w:hint="eastAsia" w:ascii="仿宋_GB2312" w:hAnsi="仿宋_GB2312" w:eastAsia="仿宋_GB2312" w:cs="仿宋_GB2312"/>
          <w:b w:val="0"/>
          <w:bCs w:val="0"/>
          <w:color w:val="000000"/>
          <w:sz w:val="31"/>
          <w:szCs w:val="31"/>
        </w:rPr>
        <w:t>“战略性科技创新合作”重点专项202</w:t>
      </w:r>
      <w:r>
        <w:rPr>
          <w:rFonts w:hint="eastAsia" w:ascii="仿宋_GB2312" w:hAnsi="仿宋_GB2312" w:eastAsia="仿宋_GB2312" w:cs="仿宋_GB2312"/>
          <w:b w:val="0"/>
          <w:bCs w:val="0"/>
          <w:color w:val="000000"/>
          <w:sz w:val="31"/>
          <w:szCs w:val="31"/>
          <w:lang w:val="en-US" w:eastAsia="zh-CN"/>
        </w:rPr>
        <w:t>3</w:t>
      </w:r>
      <w:r>
        <w:rPr>
          <w:rFonts w:hint="eastAsia" w:ascii="仿宋_GB2312" w:hAnsi="仿宋_GB2312" w:eastAsia="仿宋_GB2312" w:cs="仿宋_GB2312"/>
          <w:b w:val="0"/>
          <w:bCs w:val="0"/>
          <w:color w:val="000000"/>
          <w:sz w:val="31"/>
          <w:szCs w:val="31"/>
        </w:rPr>
        <w:t>年度第</w:t>
      </w:r>
      <w:r>
        <w:rPr>
          <w:rFonts w:hint="eastAsia" w:ascii="仿宋_GB2312" w:hAnsi="仿宋_GB2312" w:eastAsia="仿宋_GB2312" w:cs="仿宋_GB2312"/>
          <w:b w:val="0"/>
          <w:bCs w:val="0"/>
          <w:color w:val="000000"/>
          <w:sz w:val="31"/>
          <w:szCs w:val="31"/>
          <w:lang w:val="en-US" w:eastAsia="zh-CN"/>
        </w:rPr>
        <w:t>二</w:t>
      </w:r>
      <w:r>
        <w:rPr>
          <w:rFonts w:hint="eastAsia" w:ascii="仿宋_GB2312" w:hAnsi="仿宋_GB2312" w:eastAsia="仿宋_GB2312" w:cs="仿宋_GB2312"/>
          <w:b w:val="0"/>
          <w:bCs w:val="0"/>
          <w:color w:val="000000"/>
          <w:sz w:val="31"/>
          <w:szCs w:val="31"/>
        </w:rPr>
        <w:t>批港澳台项目将设立1个指南方向， 拟支持项目数</w:t>
      </w:r>
      <w:r>
        <w:rPr>
          <w:rFonts w:hint="default" w:ascii="仿宋_GB2312" w:hAnsi="仿宋_GB2312" w:eastAsia="仿宋_GB2312" w:cs="仿宋_GB2312"/>
          <w:b w:val="0"/>
          <w:bCs w:val="0"/>
          <w:color w:val="000000"/>
          <w:sz w:val="31"/>
          <w:szCs w:val="31"/>
          <w:lang w:val="en-US" w:eastAsia="zh-CN"/>
        </w:rPr>
        <w:t>25</w:t>
      </w:r>
      <w:r>
        <w:rPr>
          <w:rFonts w:hint="eastAsia" w:ascii="仿宋_GB2312" w:hAnsi="仿宋_GB2312" w:eastAsia="仿宋_GB2312" w:cs="仿宋_GB2312"/>
          <w:b w:val="0"/>
          <w:bCs w:val="0"/>
          <w:color w:val="000000"/>
          <w:sz w:val="31"/>
          <w:szCs w:val="31"/>
        </w:rPr>
        <w:t>项左右，经费总概算0.</w:t>
      </w:r>
      <w:r>
        <w:rPr>
          <w:rFonts w:hint="eastAsia" w:ascii="仿宋_GB2312" w:hAnsi="仿宋_GB2312" w:eastAsia="仿宋_GB2312" w:cs="仿宋_GB2312"/>
          <w:b w:val="0"/>
          <w:bCs w:val="0"/>
          <w:color w:val="000000"/>
          <w:sz w:val="31"/>
          <w:szCs w:val="31"/>
          <w:lang w:val="en-US" w:eastAsia="zh-CN"/>
        </w:rPr>
        <w:t>5</w:t>
      </w:r>
      <w:r>
        <w:rPr>
          <w:rFonts w:hint="eastAsia" w:ascii="仿宋_GB2312" w:hAnsi="仿宋_GB2312" w:eastAsia="仿宋_GB2312" w:cs="仿宋_GB2312"/>
          <w:b w:val="0"/>
          <w:bCs w:val="0"/>
          <w:color w:val="000000"/>
          <w:sz w:val="31"/>
          <w:szCs w:val="31"/>
        </w:rPr>
        <w:t>亿元（详细内容请查看附件2）：</w:t>
      </w:r>
    </w:p>
    <w:tbl>
      <w:tblPr>
        <w:tblStyle w:val="6"/>
        <w:tblW w:w="44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55"/>
        <w:gridCol w:w="7653"/>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spacing w:line="400" w:lineRule="exact"/>
              <w:jc w:val="center"/>
              <w:rPr>
                <w:rFonts w:ascii="Times New Roman" w:hAnsi="Times New Roman" w:cs="Times New Roman" w:eastAsiaTheme="minorEastAsia"/>
                <w:sz w:val="24"/>
              </w:rPr>
            </w:pPr>
            <w:r>
              <w:rPr>
                <w:rFonts w:ascii="Times New Roman" w:cs="Times New Roman" w:hAnsiTheme="minorEastAsia" w:eastAsiaTheme="minorEastAsia"/>
                <w:sz w:val="24"/>
              </w:rPr>
              <w:t>序号</w:t>
            </w:r>
          </w:p>
        </w:tc>
        <w:tc>
          <w:tcPr>
            <w:tcW w:w="1004" w:type="pct"/>
            <w:vAlign w:val="center"/>
          </w:tcPr>
          <w:p>
            <w:pPr>
              <w:spacing w:line="400" w:lineRule="exact"/>
              <w:jc w:val="center"/>
              <w:rPr>
                <w:rFonts w:ascii="Times New Roman" w:cs="Times New Roman" w:hAnsiTheme="minorEastAsia" w:eastAsiaTheme="minorEastAsia"/>
                <w:sz w:val="24"/>
              </w:rPr>
            </w:pPr>
            <w:r>
              <w:rPr>
                <w:rFonts w:ascii="Times New Roman" w:cs="Times New Roman" w:hAnsiTheme="minorEastAsia" w:eastAsiaTheme="minorEastAsia"/>
                <w:sz w:val="24"/>
              </w:rPr>
              <w:t>合作</w:t>
            </w:r>
            <w:r>
              <w:rPr>
                <w:rFonts w:hint="eastAsia" w:ascii="Times New Roman" w:cs="Times New Roman" w:hAnsiTheme="minorEastAsia" w:eastAsiaTheme="minorEastAsia"/>
                <w:sz w:val="24"/>
              </w:rPr>
              <w:t>地区</w:t>
            </w:r>
          </w:p>
        </w:tc>
        <w:tc>
          <w:tcPr>
            <w:tcW w:w="3007" w:type="pct"/>
            <w:vAlign w:val="center"/>
          </w:tcPr>
          <w:p>
            <w:pPr>
              <w:spacing w:line="400" w:lineRule="exact"/>
              <w:jc w:val="center"/>
              <w:rPr>
                <w:rFonts w:ascii="Times New Roman" w:hAnsi="Times New Roman" w:cs="Times New Roman" w:eastAsiaTheme="minorEastAsia"/>
                <w:sz w:val="24"/>
              </w:rPr>
            </w:pPr>
            <w:r>
              <w:rPr>
                <w:rFonts w:ascii="Times New Roman" w:cs="Times New Roman" w:hAnsiTheme="minorEastAsia" w:eastAsiaTheme="minorEastAsia"/>
                <w:sz w:val="24"/>
              </w:rPr>
              <w:t>资助领域方向</w:t>
            </w:r>
          </w:p>
        </w:tc>
        <w:tc>
          <w:tcPr>
            <w:tcW w:w="668" w:type="pct"/>
            <w:vAlign w:val="center"/>
          </w:tcPr>
          <w:p>
            <w:pPr>
              <w:spacing w:line="400" w:lineRule="exact"/>
              <w:jc w:val="center"/>
              <w:rPr>
                <w:rFonts w:ascii="Times New Roman" w:hAnsi="Times New Roman" w:cs="Times New Roman" w:eastAsiaTheme="minorEastAsia"/>
                <w:sz w:val="24"/>
              </w:rPr>
            </w:pPr>
            <w:r>
              <w:rPr>
                <w:rFonts w:hint="eastAsia" w:ascii="Times New Roman" w:cs="Times New Roman" w:hAnsiTheme="minorEastAsia" w:eastAsiaTheme="minorEastAsia"/>
                <w:sz w:val="24"/>
              </w:rPr>
              <w:t>总</w:t>
            </w:r>
            <w:r>
              <w:rPr>
                <w:rFonts w:ascii="Times New Roman" w:cs="Times New Roman" w:hAnsiTheme="minorEastAsia" w:eastAsiaTheme="minorEastAsia"/>
                <w:sz w:val="24"/>
              </w:rPr>
              <w:t>金额（万元）</w:t>
            </w:r>
            <w:r>
              <w:rPr>
                <w:rFonts w:ascii="Times New Roman" w:hAnsi="Times New Roman" w:cs="Times New Roman" w:eastAsiaTheme="minorEastAsia"/>
                <w:sz w:val="24"/>
              </w:rPr>
              <w:t>/</w:t>
            </w:r>
            <w:r>
              <w:rPr>
                <w:rFonts w:ascii="Times New Roman" w:cs="Times New Roman" w:hAnsiTheme="minorEastAsia" w:eastAsiaTheme="minorEastAsia"/>
                <w:sz w:val="24"/>
              </w:rPr>
              <w:t>资助数（个）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ascii="Times New Roman" w:hAnsi="Times New Roman" w:cs="Times New Roman"/>
                <w:sz w:val="24"/>
                <w:szCs w:val="24"/>
              </w:rPr>
            </w:pPr>
            <w:r>
              <w:rPr>
                <w:rFonts w:hint="eastAsia" w:ascii="Times New Roman" w:hAnsi="Times New Roman" w:cs="Times New Roman"/>
                <w:sz w:val="24"/>
                <w:szCs w:val="24"/>
              </w:rPr>
              <w:t>1.1</w:t>
            </w:r>
          </w:p>
        </w:tc>
        <w:tc>
          <w:tcPr>
            <w:tcW w:w="1004" w:type="pct"/>
            <w:vAlign w:val="center"/>
          </w:tcPr>
          <w:p>
            <w:pPr>
              <w:keepNext w:val="0"/>
              <w:keepLines w:val="0"/>
              <w:widowControl/>
              <w:suppressLineNumbers w:val="0"/>
              <w:jc w:val="center"/>
              <w:rPr>
                <w:rFonts w:cs="Times New Roman" w:asciiTheme="minorEastAsia" w:hAnsiTheme="minorEastAsia" w:eastAsiaTheme="minorEastAsia"/>
                <w:sz w:val="24"/>
              </w:rPr>
            </w:pPr>
            <w:r>
              <w:rPr>
                <w:rFonts w:hint="default" w:cs="Times New Roman" w:asciiTheme="minorEastAsia" w:hAnsiTheme="minorEastAsia" w:eastAsiaTheme="minorEastAsia"/>
                <w:sz w:val="24"/>
                <w:lang w:val="en-US" w:eastAsia="zh-CN"/>
              </w:rPr>
              <w:t>香港</w:t>
            </w:r>
          </w:p>
        </w:tc>
        <w:tc>
          <w:tcPr>
            <w:tcW w:w="3007" w:type="pct"/>
            <w:vAlign w:val="center"/>
          </w:tcPr>
          <w:p>
            <w:pPr>
              <w:keepNext w:val="0"/>
              <w:keepLines w:val="0"/>
              <w:widowControl/>
              <w:suppressLineNumbers w:val="0"/>
              <w:jc w:val="both"/>
              <w:rPr>
                <w:rFonts w:cs="Times New Roman" w:asciiTheme="minorEastAsia" w:hAnsiTheme="minorEastAsia" w:eastAsiaTheme="minorEastAsia"/>
                <w:sz w:val="24"/>
              </w:rPr>
            </w:pPr>
            <w:r>
              <w:rPr>
                <w:rStyle w:val="11"/>
                <w:rFonts w:hint="eastAsia"/>
                <w:sz w:val="24"/>
                <w:szCs w:val="24"/>
              </w:rPr>
              <w:t>（1）生物技术：中药新药创制、治疗罕见疾病的药物研发、治疗老年退化性疾病的再生医药研发、组织干细胞分离和功能评价；</w:t>
            </w:r>
            <w:r>
              <w:rPr>
                <w:rStyle w:val="11"/>
                <w:rFonts w:hint="eastAsia"/>
                <w:sz w:val="24"/>
                <w:szCs w:val="24"/>
              </w:rPr>
              <w:br w:type="textWrapping"/>
            </w:r>
            <w:r>
              <w:rPr>
                <w:rStyle w:val="11"/>
                <w:rFonts w:hint="eastAsia"/>
                <w:sz w:val="24"/>
                <w:szCs w:val="24"/>
              </w:rPr>
              <w:t>（</w:t>
            </w:r>
            <w:r>
              <w:rPr>
                <w:rStyle w:val="11"/>
                <w:rFonts w:hint="default"/>
                <w:sz w:val="24"/>
                <w:szCs w:val="24"/>
              </w:rPr>
              <w:t>2</w:t>
            </w:r>
            <w:r>
              <w:rPr>
                <w:rStyle w:val="11"/>
                <w:rFonts w:hint="eastAsia"/>
                <w:sz w:val="24"/>
                <w:szCs w:val="24"/>
              </w:rPr>
              <w:t>）人工智能：人工智能系统的安全性和隐私研究、类脑智能、智慧交通、智慧医疗（包括医疗机器人）；</w:t>
            </w:r>
            <w:r>
              <w:rPr>
                <w:rStyle w:val="11"/>
                <w:rFonts w:hint="eastAsia"/>
                <w:sz w:val="24"/>
                <w:szCs w:val="24"/>
              </w:rPr>
              <w:br w:type="textWrapping"/>
            </w:r>
            <w:r>
              <w:rPr>
                <w:rStyle w:val="11"/>
                <w:rFonts w:hint="eastAsia"/>
                <w:sz w:val="24"/>
                <w:szCs w:val="24"/>
              </w:rPr>
              <w:t>（</w:t>
            </w:r>
            <w:r>
              <w:rPr>
                <w:rStyle w:val="11"/>
                <w:rFonts w:hint="default"/>
                <w:sz w:val="24"/>
                <w:szCs w:val="24"/>
              </w:rPr>
              <w:t>3</w:t>
            </w:r>
            <w:r>
              <w:rPr>
                <w:rStyle w:val="11"/>
                <w:rFonts w:hint="eastAsia"/>
                <w:sz w:val="24"/>
                <w:szCs w:val="24"/>
              </w:rPr>
              <w:t>）新材料：光电子材料、第三代半导体技术、高安全高能量密度电池材料、生物医用材料研发与应用。</w:t>
            </w:r>
          </w:p>
        </w:tc>
        <w:tc>
          <w:tcPr>
            <w:tcW w:w="668" w:type="pct"/>
            <w:vAlign w:val="center"/>
          </w:tcPr>
          <w:p>
            <w:pPr>
              <w:spacing w:line="400" w:lineRule="exact"/>
              <w:jc w:val="center"/>
              <w:rPr>
                <w:rFonts w:hint="default" w:ascii="Times New Roman" w:cs="Times New Roman" w:hAnsiTheme="minorEastAsia" w:eastAsiaTheme="minorEastAsia"/>
                <w:sz w:val="24"/>
                <w:lang w:val="en-US" w:eastAsia="zh-CN"/>
              </w:rPr>
            </w:pPr>
            <w:r>
              <w:rPr>
                <w:rFonts w:hint="eastAsia" w:cs="Times New Roman" w:eastAsiaTheme="minorEastAsia"/>
                <w:sz w:val="24"/>
                <w:lang w:val="en-US" w:eastAsia="zh-CN"/>
              </w:rPr>
              <w:t>5000/25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 w:type="pct"/>
            <w:vAlign w:val="center"/>
          </w:tcPr>
          <w:p>
            <w:pPr>
              <w:pStyle w:val="14"/>
              <w:spacing w:line="400" w:lineRule="exact"/>
              <w:ind w:left="105" w:firstLine="0" w:firstLineChars="0"/>
              <w:rPr>
                <w:rFonts w:hint="eastAsia" w:ascii="Times New Roman" w:hAnsi="Times New Roman" w:cs="Times New Roman"/>
                <w:sz w:val="24"/>
                <w:szCs w:val="24"/>
              </w:rPr>
            </w:pPr>
          </w:p>
        </w:tc>
        <w:tc>
          <w:tcPr>
            <w:tcW w:w="1004" w:type="pct"/>
            <w:vAlign w:val="center"/>
          </w:tcPr>
          <w:p>
            <w:pPr>
              <w:keepNext w:val="0"/>
              <w:keepLines w:val="0"/>
              <w:widowControl/>
              <w:suppressLineNumbers w:val="0"/>
              <w:jc w:val="center"/>
              <w:rPr>
                <w:rFonts w:hint="default" w:cs="Times New Roman" w:asciiTheme="minorEastAsia" w:hAnsiTheme="minorEastAsia" w:eastAsiaTheme="minorEastAsia"/>
                <w:sz w:val="24"/>
                <w:lang w:val="en-US" w:eastAsia="zh-CN"/>
              </w:rPr>
            </w:pPr>
          </w:p>
        </w:tc>
        <w:tc>
          <w:tcPr>
            <w:tcW w:w="3007" w:type="pct"/>
            <w:vAlign w:val="center"/>
          </w:tcPr>
          <w:p>
            <w:pPr>
              <w:keepNext w:val="0"/>
              <w:keepLines w:val="0"/>
              <w:widowControl/>
              <w:suppressLineNumbers w:val="0"/>
              <w:jc w:val="both"/>
              <w:rPr>
                <w:rStyle w:val="11"/>
                <w:rFonts w:hint="eastAsia"/>
                <w:sz w:val="24"/>
                <w:szCs w:val="24"/>
              </w:rPr>
            </w:pPr>
          </w:p>
        </w:tc>
        <w:tc>
          <w:tcPr>
            <w:tcW w:w="668" w:type="pct"/>
            <w:vAlign w:val="center"/>
          </w:tcPr>
          <w:p>
            <w:pPr>
              <w:spacing w:line="400" w:lineRule="exact"/>
              <w:jc w:val="center"/>
              <w:rPr>
                <w:rFonts w:hint="eastAsia" w:cs="Times New Roman" w:eastAsiaTheme="minorEastAsia"/>
                <w:sz w:val="24"/>
                <w:lang w:val="en-US" w:eastAsia="zh-CN"/>
              </w:rPr>
            </w:pPr>
          </w:p>
        </w:tc>
      </w:tr>
    </w:tbl>
    <w:p>
      <w:pPr>
        <w:keepNext w:val="0"/>
        <w:keepLines w:val="0"/>
        <w:widowControl/>
        <w:suppressLineNumbers w:val="0"/>
        <w:jc w:val="left"/>
        <w:rPr>
          <w:rFonts w:hint="eastAsia" w:ascii="宋体" w:hAnsi="宋体" w:cs="宋体"/>
          <w:b/>
          <w:bCs/>
          <w:color w:val="333333"/>
          <w:kern w:val="0"/>
          <w:sz w:val="24"/>
        </w:rPr>
      </w:pPr>
      <w:r>
        <w:rPr>
          <w:rFonts w:hint="eastAsia" w:ascii="宋体" w:hAnsi="宋体" w:cs="宋体"/>
          <w:b/>
          <w:bCs/>
          <w:color w:val="333333"/>
          <w:kern w:val="0"/>
          <w:sz w:val="24"/>
        </w:rPr>
        <w:br w:type="textWrapping"/>
      </w:r>
    </w:p>
    <w:p>
      <w:pPr>
        <w:keepNext w:val="0"/>
        <w:keepLines w:val="0"/>
        <w:widowControl/>
        <w:suppressLineNumbers w:val="0"/>
        <w:ind w:firstLine="482" w:firstLineChars="200"/>
        <w:jc w:val="left"/>
      </w:pPr>
      <w:r>
        <w:rPr>
          <w:rFonts w:hint="eastAsia" w:ascii="宋体" w:hAnsi="宋体" w:cs="宋体"/>
          <w:b/>
          <w:bCs/>
          <w:color w:val="333333"/>
          <w:kern w:val="0"/>
          <w:sz w:val="24"/>
        </w:rPr>
        <w:t>二、项目组织申报工作流程</w:t>
      </w:r>
    </w:p>
    <w:p>
      <w:pPr>
        <w:spacing w:line="578" w:lineRule="exact"/>
        <w:ind w:firstLine="640" w:firstLineChars="200"/>
        <w:rPr>
          <w:rFonts w:hint="eastAsia" w:ascii="仿宋_GB2312" w:eastAsia="仿宋_GB2312"/>
          <w:color w:val="333333"/>
          <w:kern w:val="0"/>
          <w:sz w:val="32"/>
          <w:szCs w:val="32"/>
        </w:rPr>
      </w:pPr>
      <w:r>
        <w:rPr>
          <w:rFonts w:hint="eastAsia" w:ascii="仿宋_GB2312" w:eastAsia="仿宋_GB2312"/>
          <w:color w:val="333333"/>
          <w:kern w:val="0"/>
          <w:sz w:val="32"/>
          <w:szCs w:val="32"/>
          <w:lang w:val="en-US" w:eastAsia="zh-CN"/>
        </w:rPr>
        <w:t>1. 申报单位根据指南支持方向的研究内容以项目形式组织申报。项目应整体申报，须覆盖相应指南方向的全部考核指标。项目申报单位推荐1名科研人员作为项目负责人。</w:t>
      </w:r>
    </w:p>
    <w:p>
      <w:pPr>
        <w:spacing w:line="578" w:lineRule="exact"/>
        <w:ind w:firstLine="640" w:firstLineChars="200"/>
        <w:rPr>
          <w:rFonts w:hint="eastAsia" w:ascii="仿宋_GB2312" w:eastAsia="仿宋_GB2312"/>
          <w:color w:val="333333"/>
          <w:kern w:val="0"/>
          <w:sz w:val="32"/>
          <w:szCs w:val="32"/>
        </w:rPr>
      </w:pPr>
      <w:r>
        <w:rPr>
          <w:rFonts w:hint="eastAsia" w:ascii="仿宋_GB2312" w:eastAsia="仿宋_GB2312"/>
          <w:color w:val="333333"/>
          <w:kern w:val="0"/>
          <w:sz w:val="32"/>
          <w:szCs w:val="32"/>
          <w:lang w:val="en-US" w:eastAsia="zh-CN"/>
        </w:rPr>
        <w:t>2. 聚焦指南任务，整合优势创新团队，集中力量，联合攻关。鼓励有能力的女性科研人员作为项目（课题）负责人领衔担纲承担任务，并积极吸纳女性科研人员参与项目攻关。</w:t>
      </w:r>
    </w:p>
    <w:p>
      <w:pPr>
        <w:spacing w:line="578" w:lineRule="exact"/>
        <w:ind w:firstLine="640" w:firstLineChars="200"/>
        <w:rPr>
          <w:rFonts w:hint="eastAsia" w:ascii="仿宋_GB2312" w:eastAsia="仿宋_GB2312"/>
          <w:color w:val="333333"/>
          <w:kern w:val="0"/>
          <w:sz w:val="32"/>
          <w:szCs w:val="32"/>
        </w:rPr>
      </w:pPr>
      <w:r>
        <w:rPr>
          <w:rFonts w:hint="eastAsia" w:ascii="仿宋_GB2312" w:eastAsia="仿宋_GB2312"/>
          <w:color w:val="333333"/>
          <w:kern w:val="0"/>
          <w:sz w:val="32"/>
          <w:szCs w:val="32"/>
          <w:lang w:val="en-US" w:eastAsia="zh-CN"/>
        </w:rPr>
        <w:t>3. 国家重点研发计划项目申报评审具体工作流程如下。</w:t>
      </w:r>
    </w:p>
    <w:p>
      <w:pPr>
        <w:spacing w:line="578" w:lineRule="exact"/>
        <w:ind w:firstLine="640" w:firstLineChars="200"/>
        <w:rPr>
          <w:rFonts w:hint="eastAsia" w:ascii="仿宋_GB2312" w:eastAsia="仿宋_GB2312"/>
          <w:color w:val="333333"/>
          <w:kern w:val="0"/>
          <w:sz w:val="32"/>
          <w:szCs w:val="32"/>
        </w:rPr>
      </w:pPr>
      <w:r>
        <w:rPr>
          <w:rFonts w:hint="eastAsia" w:ascii="仿宋_GB2312" w:eastAsia="仿宋_GB2312"/>
          <w:color w:val="333333"/>
          <w:kern w:val="0"/>
          <w:sz w:val="32"/>
          <w:szCs w:val="32"/>
          <w:lang w:val="en-US" w:eastAsia="zh-CN"/>
        </w:rPr>
        <w:t>——项目申报单位根据指南相关申报要求，通过国家科技管理信息系统（http://service.most.gov.cn）填写并一次性提交项目正式申报书。</w:t>
      </w:r>
    </w:p>
    <w:p>
      <w:pPr>
        <w:spacing w:line="578" w:lineRule="exact"/>
        <w:ind w:firstLine="640" w:firstLineChars="200"/>
        <w:rPr>
          <w:rFonts w:hint="eastAsia" w:ascii="仿宋_GB2312" w:eastAsia="仿宋_GB2312"/>
          <w:color w:val="333333"/>
          <w:kern w:val="0"/>
          <w:sz w:val="32"/>
          <w:szCs w:val="32"/>
        </w:rPr>
      </w:pPr>
      <w:r>
        <w:rPr>
          <w:rFonts w:hint="eastAsia" w:ascii="仿宋_GB2312" w:eastAsia="仿宋_GB2312"/>
          <w:color w:val="333333"/>
          <w:kern w:val="0"/>
          <w:sz w:val="32"/>
          <w:szCs w:val="32"/>
          <w:lang w:val="en-US" w:eastAsia="zh-CN"/>
        </w:rPr>
        <w:t>——项目申报单位应与所有参与单位签署联合申报协议，并明确协议签署时间；项目牵头申报单位、课题申报单位、项目负责人及课题负责人须签署诚信承诺书，项目牵头申报单位及所有参与单位要落实《关于进一步加强科研诚信建设的若干意见》《关于进一步弘扬科学家精神加强作风和学风建设的意见》要求，加强对申报材料审核把关，杜绝夸大不实，严禁弄虚作假。</w:t>
      </w:r>
    </w:p>
    <w:p>
      <w:pPr>
        <w:spacing w:line="578" w:lineRule="exact"/>
        <w:ind w:firstLine="640" w:firstLineChars="200"/>
        <w:rPr>
          <w:rFonts w:hint="eastAsia" w:ascii="仿宋_GB2312" w:eastAsia="仿宋_GB2312"/>
          <w:color w:val="333333"/>
          <w:kern w:val="0"/>
          <w:sz w:val="32"/>
          <w:szCs w:val="32"/>
        </w:rPr>
      </w:pPr>
      <w:r>
        <w:rPr>
          <w:rFonts w:hint="eastAsia" w:ascii="仿宋_GB2312" w:eastAsia="仿宋_GB2312"/>
          <w:color w:val="333333"/>
          <w:kern w:val="0"/>
          <w:sz w:val="32"/>
          <w:szCs w:val="32"/>
          <w:lang w:val="en-US" w:eastAsia="zh-CN"/>
        </w:rPr>
        <w:t>——推荐单位加强对所推荐的项目申报材料审核把关，按时将推荐项目通过国家科技管理信息系统统一报送。</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中国科学技术交流中心在受理项目申报后，组织形式审查，并开展首轮评审工作。首轮评审不需要项目负责人进行答辩。根据专家评审结果，结合磋商协调情况，遴选出3～4倍于拟立项数量的申报项目，进入下一轮答辩评审。对于未进入答辩评审的申报项目，及时将评审结果反馈项目申报单位和负责人。</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——中国科学技术交流中心组织进入答辩评审的项目进行答辩评审。申报项目的负责人通过网络视频进行报告答辩。根据专家评议结果，结合磋商协调情况，择优立项。</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 xml:space="preserve">——申报单位在接到中国科学技术交流中心关于进入答辩评审的通知后，通过国家科技管理信息系统填写并提交项目正式申报书。正式申报书受理时间为 </w:t>
      </w:r>
      <w:r>
        <w:rPr>
          <w:rFonts w:hint="default" w:ascii="仿宋_GB2312" w:eastAsia="仿宋_GB2312"/>
          <w:color w:val="333333"/>
          <w:kern w:val="0"/>
          <w:sz w:val="32"/>
          <w:szCs w:val="32"/>
          <w:lang w:val="en-US" w:eastAsia="zh-CN"/>
        </w:rPr>
        <w:t xml:space="preserve">30 </w:t>
      </w:r>
      <w:r>
        <w:rPr>
          <w:rFonts w:hint="eastAsia" w:ascii="仿宋_GB2312" w:eastAsia="仿宋_GB2312"/>
          <w:color w:val="333333"/>
          <w:kern w:val="0"/>
          <w:sz w:val="32"/>
          <w:szCs w:val="32"/>
          <w:lang w:val="en-US" w:eastAsia="zh-CN"/>
        </w:rPr>
        <w:t xml:space="preserve">天。 </w:t>
      </w:r>
    </w:p>
    <w:p>
      <w:pPr>
        <w:spacing w:line="578" w:lineRule="exact"/>
        <w:ind w:firstLine="640" w:firstLineChars="200"/>
        <w:rPr>
          <w:rFonts w:ascii="仿宋_GB2312" w:eastAsia="仿宋_GB2312"/>
          <w:color w:val="333333"/>
          <w:kern w:val="0"/>
          <w:sz w:val="32"/>
          <w:szCs w:val="32"/>
        </w:rPr>
      </w:pPr>
      <w:r>
        <w:rPr>
          <w:rFonts w:hint="eastAsia" w:ascii="仿宋_GB2312" w:eastAsia="仿宋_GB2312"/>
          <w:color w:val="333333"/>
          <w:kern w:val="0"/>
          <w:sz w:val="32"/>
          <w:szCs w:val="32"/>
          <w:lang w:val="en-US" w:eastAsia="zh-CN"/>
        </w:rPr>
        <w:t>——中国科学技术交流中心对进入正式评审的项目申报书进行形式审查，并组织答辩评审。申报项目的负责人通过网络视频进行报告答辩。根据专家评议结果，结合磋商协调情况，选择立项。</w:t>
      </w:r>
      <w:r>
        <w:rPr>
          <w:rFonts w:hint="eastAsia" w:ascii="仿宋_GB2312" w:eastAsia="仿宋_GB2312"/>
          <w:color w:val="333333"/>
          <w:kern w:val="0"/>
          <w:sz w:val="32"/>
          <w:szCs w:val="32"/>
          <w:lang w:val="en-US" w:eastAsia="zh-CN"/>
        </w:rPr>
        <w:br w:type="textWrapping"/>
      </w:r>
    </w:p>
    <w:p>
      <w:pPr>
        <w:spacing w:line="578" w:lineRule="exact"/>
        <w:ind w:firstLine="482" w:firstLineChars="200"/>
        <w:rPr>
          <w:rFonts w:hint="eastAsia" w:ascii="仿宋_GB2312" w:eastAsia="仿宋_GB2312"/>
          <w:color w:val="333333"/>
          <w:kern w:val="0"/>
          <w:sz w:val="32"/>
          <w:szCs w:val="32"/>
          <w:lang w:val="en-US" w:eastAsia="zh-CN"/>
        </w:rPr>
      </w:pPr>
      <w:r>
        <w:rPr>
          <w:rFonts w:hint="eastAsia" w:ascii="宋体" w:hAnsi="宋体" w:cs="宋体"/>
          <w:b/>
          <w:bCs/>
          <w:color w:val="333333"/>
          <w:kern w:val="0"/>
          <w:sz w:val="24"/>
        </w:rPr>
        <w:t>三、申报资格要求</w:t>
      </w:r>
      <w:r>
        <w:rPr>
          <w:rFonts w:hint="eastAsia" w:ascii="宋体" w:hAnsi="宋体" w:cs="宋体"/>
          <w:color w:val="333333"/>
          <w:kern w:val="0"/>
          <w:sz w:val="24"/>
        </w:rPr>
        <w:br w:type="textWrapping"/>
      </w:r>
      <w:r>
        <w:rPr>
          <w:rFonts w:hint="eastAsia" w:ascii="宋体" w:hAnsi="宋体" w:cs="宋体"/>
          <w:color w:val="333333"/>
          <w:kern w:val="0"/>
          <w:sz w:val="24"/>
        </w:rPr>
        <w:t>　</w:t>
      </w:r>
      <w:r>
        <w:rPr>
          <w:rFonts w:hint="eastAsia" w:ascii="仿宋_GB2312" w:eastAsia="仿宋_GB2312"/>
          <w:color w:val="333333"/>
          <w:kern w:val="0"/>
          <w:sz w:val="32"/>
          <w:szCs w:val="32"/>
          <w:lang w:val="en-US" w:eastAsia="zh-CN"/>
        </w:rPr>
        <w:t>1. 项目牵头申报单位和参与单位应为中国大陆境内注册的科研院所、高等学校和企业等，具有独立法人资格，注册时间为2022年6月30日前，有较强的科技研发能力和条件，具有良好国际合作基础，运行管理规范。国家机关不得牵头或参与申报。</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项目牵头申报单位、项目参与单位以及项目团队成员诚信状况良好，无在惩戒执行期内的科研严重失信行为记录和相关社会领域信用“黑名单”记录。</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申报单位同一个项目只能通过单个推荐单位申报，不得多头申报和重复申报。</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2. 项目（课题）负责人须具有高级职称或博士学位，1963年1月1日以后出生，每年用于项目的工作时间不少于6个月。</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3. 项目（课题）负责人原则上应为该项目（课题）主体研究思路的提出者和实际主持研究的科技人员。中央和地方各级国家机关的公务人员（包括行使科技计划管理职能的其他人员）不得申报项目（课题）。</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4. 项目（课题）负责人限申报1个项目（课题）；国家重点研发计划、科技创新2030—重大项目的在研项目负责人不得牵头或参与申报项目（课题）。课题负责人可参与申报项目（课题）。</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项目（课题）负责人、项目骨干的申报项目（课题）和国家重点研发计划、科技创新2030—重大项目在研项目（课题）总数不得超过2个；国家重点研发计划、科技创新2030—重大项目的在研项目（课题）负责人和项目骨干不得因申报新项目而退出在研项目。退出项目研发团队后，在原项目执行期内原则上不得牵头或参与申报新的国家重点研发计划项目。</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对于中央财政专项资金预算不超过400万元的“政府间国际科技创新合作”重点专项项目，与国家重点研发计划其他重点专项项目（课题）互不限项，但其他重点专项项目的在研项目负责人不得参与申报此类不限</w:t>
      </w:r>
      <w:bookmarkStart w:id="0" w:name="_GoBack"/>
      <w:bookmarkEnd w:id="0"/>
      <w:r>
        <w:rPr>
          <w:rFonts w:hint="eastAsia" w:ascii="仿宋_GB2312" w:eastAsia="仿宋_GB2312"/>
          <w:color w:val="333333"/>
          <w:kern w:val="0"/>
          <w:sz w:val="32"/>
          <w:szCs w:val="32"/>
          <w:lang w:val="en-US" w:eastAsia="zh-CN"/>
        </w:rPr>
        <w:t>项项目；对于中央财政专项资金预算不超过400万元的“战略性科技创新合作”重点专项港澳台项目，与国家重点研发计划其他重点专项项目（课题）以及“战略性科技创新合作”重点专项非港澳台项目（课题）互不限项，但其他重点专项项目以及“战略性科技创新合作”重点专项非港澳台项目的在研项目负责人不得参与申报此类不限项项目。项目（课题）负责人的申报和在研上述两类不限项项目的总数限为1项。项目骨干的申报和在研上述两类不限项项目的总数限为1项。</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同时，科研人员作为项目（课题）负责人只能主持1项“政府间国际科技创新合作”重点专项项目（含上述不限项项目）。项目（课题）负责人、项目骨干的申报和在研“政府间国际科技创新合作”重点专项项目总数不超过2个（含上述不限项项目）。项目（课题）负责人只能主持1项“战略性科技创新合作”重点专项港澳台项目（含上述不限项项目）。项目（课题）负责人、项目骨干的申报和在研“战略性科技创新合作”重点专项项目总数不超过2个（含上述不限项项目）。</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计划任务书执行期（包括延期后的执行期）到2023年12月31日之前的在研项目（含任务或课题）不在限项范围内。</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5. 参与重点专项实施方案或本年度项目指南编制的专家，原则上不能申报该重点专项项目（课题）。</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6. 受聘于内地单位的外籍科学家及港、澳、台地区科学家可作为项目（课题）负责人，全职受聘人员须由内地聘用单位提供全职聘用的有效材料，非全职受聘人员须由双方单位同时提供聘用的有效材料，并作为项目申报材料一并报送。</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7. 申报项目受理后，原则上不能更改申报单位和负责人。</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8. 项目合作内容和方式应符合我国及各合作机构所在国家（地区、国际组织）有关法律法规和科研伦理相关规定。凡开展须事先审查报批的合作活动，例如涉及人类遗传资源或种质资源等，申报单位必须事先依法依规履行国内有关审查报批手续。所有必需的手续完备后，项目才可正式立项。</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条款）。</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9. 中方单位务必与外方合作机构和人员明确以下几项要求：外方项目牵头人不得就同一研究方向和技术路线与国内不同单位合作多头参与申报，其作为外方项目牵头人申报项目和参与在研项目总数不得超过2个。已作为受聘于内地的外籍科学家参与国家重点研发计划、科技创新2030—重大项目在研项目（课题）的，不得再作为外方人员参与申报。</w:t>
      </w:r>
    </w:p>
    <w:p>
      <w:pPr>
        <w:spacing w:line="578" w:lineRule="exact"/>
        <w:ind w:firstLine="640" w:firstLineChars="200"/>
        <w:rPr>
          <w:rFonts w:hint="eastAsia" w:ascii="仿宋_GB2312" w:eastAsia="仿宋_GB2312"/>
          <w:color w:val="333333"/>
          <w:kern w:val="0"/>
          <w:sz w:val="32"/>
          <w:szCs w:val="32"/>
          <w:lang w:val="en-US" w:eastAsia="zh-CN"/>
        </w:rPr>
      </w:pPr>
      <w:r>
        <w:rPr>
          <w:rFonts w:hint="eastAsia" w:ascii="仿宋_GB2312" w:eastAsia="仿宋_GB2312"/>
          <w:color w:val="333333"/>
          <w:kern w:val="0"/>
          <w:sz w:val="32"/>
          <w:szCs w:val="32"/>
          <w:lang w:val="en-US" w:eastAsia="zh-CN"/>
        </w:rPr>
        <w:t>10. 项目的具体申报要求，详见项目申报指南。</w:t>
      </w:r>
    </w:p>
    <w:p>
      <w:pPr>
        <w:spacing w:line="578" w:lineRule="exact"/>
        <w:ind w:firstLine="640" w:firstLineChars="200"/>
        <w:rPr>
          <w:rFonts w:hint="eastAsia" w:ascii="宋体" w:hAnsi="宋体" w:cs="宋体"/>
          <w:color w:val="333333"/>
          <w:kern w:val="0"/>
          <w:sz w:val="24"/>
          <w:lang w:val="en-US" w:eastAsia="zh-CN"/>
        </w:rPr>
      </w:pPr>
      <w:r>
        <w:rPr>
          <w:rFonts w:hint="eastAsia" w:ascii="仿宋_GB2312" w:eastAsia="仿宋_GB2312"/>
          <w:color w:val="333333"/>
          <w:kern w:val="0"/>
          <w:sz w:val="32"/>
          <w:szCs w:val="32"/>
          <w:lang w:val="en-US" w:eastAsia="zh-CN"/>
        </w:rPr>
        <w:t>各申报单位在正式提交项目申报书前可利用国家科技管理信息系统查询相关科研人员承担国家重点研发计划、科技创新2030—重大项目在研项目（含任务或课题）情况，避免重复申报。</w:t>
      </w:r>
      <w:r>
        <w:rPr>
          <w:rFonts w:hint="eastAsia" w:ascii="宋体" w:hAnsi="宋体" w:cs="宋体"/>
          <w:color w:val="333333"/>
          <w:kern w:val="0"/>
          <w:sz w:val="24"/>
          <w:lang w:val="en-US" w:eastAsia="zh-CN"/>
        </w:rPr>
        <w:br w:type="textWrapping"/>
      </w:r>
      <w:r>
        <w:rPr>
          <w:rFonts w:hint="eastAsia" w:ascii="宋体" w:hAnsi="宋体" w:cs="宋体"/>
          <w:b/>
          <w:bCs/>
          <w:color w:val="333333"/>
          <w:kern w:val="0"/>
          <w:sz w:val="24"/>
          <w:lang w:val="en-US" w:eastAsia="zh-CN"/>
        </w:rPr>
        <w:t xml:space="preserve"> </w:t>
      </w:r>
    </w:p>
    <w:p>
      <w:pPr>
        <w:snapToGrid w:val="0"/>
        <w:spacing w:before="156" w:beforeLines="50" w:after="156" w:afterLines="50" w:line="360" w:lineRule="auto"/>
        <w:ind w:firstLine="482"/>
        <w:jc w:val="left"/>
        <w:rPr>
          <w:rFonts w:ascii="宋体" w:hAnsi="宋体" w:cs="宋体"/>
          <w:color w:val="333333"/>
          <w:kern w:val="0"/>
          <w:sz w:val="24"/>
        </w:rPr>
      </w:pPr>
    </w:p>
    <w:p>
      <w:pPr>
        <w:spacing w:line="360" w:lineRule="auto"/>
        <w:ind w:firstLine="420" w:firstLineChars="200"/>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NGQ1MGZiY2IxZjY1ZmZhYzg4YWRlYzdlNjY5ZGQifQ=="/>
  </w:docVars>
  <w:rsids>
    <w:rsidRoot w:val="002717F8"/>
    <w:rsid w:val="0000461C"/>
    <w:rsid w:val="00013482"/>
    <w:rsid w:val="00013CA6"/>
    <w:rsid w:val="000238A5"/>
    <w:rsid w:val="00050E7D"/>
    <w:rsid w:val="000707C1"/>
    <w:rsid w:val="00137DCA"/>
    <w:rsid w:val="00153AA2"/>
    <w:rsid w:val="001A3721"/>
    <w:rsid w:val="001A4506"/>
    <w:rsid w:val="001D4D53"/>
    <w:rsid w:val="001E09D4"/>
    <w:rsid w:val="001F4F83"/>
    <w:rsid w:val="00202012"/>
    <w:rsid w:val="00226A90"/>
    <w:rsid w:val="00262A9D"/>
    <w:rsid w:val="002717F8"/>
    <w:rsid w:val="0027297C"/>
    <w:rsid w:val="00277FC2"/>
    <w:rsid w:val="00290315"/>
    <w:rsid w:val="00295751"/>
    <w:rsid w:val="002A1EB4"/>
    <w:rsid w:val="002D516F"/>
    <w:rsid w:val="00304EFA"/>
    <w:rsid w:val="00313229"/>
    <w:rsid w:val="00314E76"/>
    <w:rsid w:val="00316D8E"/>
    <w:rsid w:val="0032497E"/>
    <w:rsid w:val="00337FFC"/>
    <w:rsid w:val="00353628"/>
    <w:rsid w:val="00355BBB"/>
    <w:rsid w:val="00363015"/>
    <w:rsid w:val="0039022C"/>
    <w:rsid w:val="00392525"/>
    <w:rsid w:val="003B5B86"/>
    <w:rsid w:val="003C2023"/>
    <w:rsid w:val="003F6708"/>
    <w:rsid w:val="0045616D"/>
    <w:rsid w:val="00473B68"/>
    <w:rsid w:val="004A179F"/>
    <w:rsid w:val="004B4198"/>
    <w:rsid w:val="004B6198"/>
    <w:rsid w:val="004C473F"/>
    <w:rsid w:val="004C4B7D"/>
    <w:rsid w:val="004D4164"/>
    <w:rsid w:val="004F56BE"/>
    <w:rsid w:val="00511FD2"/>
    <w:rsid w:val="00515034"/>
    <w:rsid w:val="0053001F"/>
    <w:rsid w:val="00585C9F"/>
    <w:rsid w:val="005B6B13"/>
    <w:rsid w:val="00601575"/>
    <w:rsid w:val="006106E3"/>
    <w:rsid w:val="00613D96"/>
    <w:rsid w:val="00643BE5"/>
    <w:rsid w:val="006631E7"/>
    <w:rsid w:val="006640E0"/>
    <w:rsid w:val="006861B4"/>
    <w:rsid w:val="006A56B0"/>
    <w:rsid w:val="006A5F52"/>
    <w:rsid w:val="006B3DF9"/>
    <w:rsid w:val="006B425D"/>
    <w:rsid w:val="006D7006"/>
    <w:rsid w:val="006E76B1"/>
    <w:rsid w:val="007046E1"/>
    <w:rsid w:val="00745C0A"/>
    <w:rsid w:val="00760143"/>
    <w:rsid w:val="00760F46"/>
    <w:rsid w:val="007749E7"/>
    <w:rsid w:val="007908F6"/>
    <w:rsid w:val="007A36D3"/>
    <w:rsid w:val="007B2D6F"/>
    <w:rsid w:val="007D4F14"/>
    <w:rsid w:val="007D63F5"/>
    <w:rsid w:val="007F041F"/>
    <w:rsid w:val="007F2009"/>
    <w:rsid w:val="00816EB1"/>
    <w:rsid w:val="00826034"/>
    <w:rsid w:val="00855559"/>
    <w:rsid w:val="0089234F"/>
    <w:rsid w:val="008B53A8"/>
    <w:rsid w:val="008C1E16"/>
    <w:rsid w:val="008C4520"/>
    <w:rsid w:val="008D03B6"/>
    <w:rsid w:val="008F4601"/>
    <w:rsid w:val="00936B1A"/>
    <w:rsid w:val="00950190"/>
    <w:rsid w:val="00960B76"/>
    <w:rsid w:val="00963CBA"/>
    <w:rsid w:val="009B64BA"/>
    <w:rsid w:val="009D7386"/>
    <w:rsid w:val="009F118F"/>
    <w:rsid w:val="009F63A7"/>
    <w:rsid w:val="00A0220E"/>
    <w:rsid w:val="00A12080"/>
    <w:rsid w:val="00A4501C"/>
    <w:rsid w:val="00A65909"/>
    <w:rsid w:val="00AA2661"/>
    <w:rsid w:val="00AE3187"/>
    <w:rsid w:val="00AF19FD"/>
    <w:rsid w:val="00B01699"/>
    <w:rsid w:val="00B21EA3"/>
    <w:rsid w:val="00B54B0D"/>
    <w:rsid w:val="00BE0232"/>
    <w:rsid w:val="00BF4A8D"/>
    <w:rsid w:val="00C01740"/>
    <w:rsid w:val="00C1284E"/>
    <w:rsid w:val="00C2786A"/>
    <w:rsid w:val="00C45BFB"/>
    <w:rsid w:val="00C53A2B"/>
    <w:rsid w:val="00C567AA"/>
    <w:rsid w:val="00C56A9D"/>
    <w:rsid w:val="00C701AE"/>
    <w:rsid w:val="00C93330"/>
    <w:rsid w:val="00C954BE"/>
    <w:rsid w:val="00CA54E6"/>
    <w:rsid w:val="00CC67C2"/>
    <w:rsid w:val="00CD1D0F"/>
    <w:rsid w:val="00CE7172"/>
    <w:rsid w:val="00D23658"/>
    <w:rsid w:val="00D3417A"/>
    <w:rsid w:val="00D35E5E"/>
    <w:rsid w:val="00D36F2F"/>
    <w:rsid w:val="00D4134E"/>
    <w:rsid w:val="00D653E7"/>
    <w:rsid w:val="00D67997"/>
    <w:rsid w:val="00D86FE6"/>
    <w:rsid w:val="00DB3685"/>
    <w:rsid w:val="00DD48E0"/>
    <w:rsid w:val="00DE2B78"/>
    <w:rsid w:val="00DE32B4"/>
    <w:rsid w:val="00E427B9"/>
    <w:rsid w:val="00E4584D"/>
    <w:rsid w:val="00E52164"/>
    <w:rsid w:val="00E52316"/>
    <w:rsid w:val="00E63CAB"/>
    <w:rsid w:val="00E90805"/>
    <w:rsid w:val="00E9505E"/>
    <w:rsid w:val="00EA05E2"/>
    <w:rsid w:val="00EA524A"/>
    <w:rsid w:val="00EB3FD5"/>
    <w:rsid w:val="00EC721E"/>
    <w:rsid w:val="00ED372F"/>
    <w:rsid w:val="00EF7533"/>
    <w:rsid w:val="00EF75E6"/>
    <w:rsid w:val="00F026AE"/>
    <w:rsid w:val="00F3094D"/>
    <w:rsid w:val="00F35978"/>
    <w:rsid w:val="00F4195F"/>
    <w:rsid w:val="00F45460"/>
    <w:rsid w:val="00F7685C"/>
    <w:rsid w:val="00FA6E53"/>
    <w:rsid w:val="00FC7817"/>
    <w:rsid w:val="00FE1252"/>
    <w:rsid w:val="21EC7C70"/>
    <w:rsid w:val="2A67602F"/>
    <w:rsid w:val="2B1F434B"/>
    <w:rsid w:val="35D755AF"/>
    <w:rsid w:val="40C051F8"/>
    <w:rsid w:val="44FF0DB1"/>
    <w:rsid w:val="533A2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fontstyle41"/>
    <w:basedOn w:val="7"/>
    <w:qFormat/>
    <w:uiPriority w:val="0"/>
    <w:rPr>
      <w:rFonts w:hint="eastAsia" w:ascii="宋体" w:hAnsi="宋体" w:eastAsia="宋体"/>
      <w:color w:val="000000"/>
      <w:sz w:val="36"/>
      <w:szCs w:val="36"/>
    </w:rPr>
  </w:style>
  <w:style w:type="character" w:customStyle="1" w:styleId="11">
    <w:name w:val="fontstyle01"/>
    <w:basedOn w:val="7"/>
    <w:qFormat/>
    <w:uiPriority w:val="0"/>
    <w:rPr>
      <w:rFonts w:hint="default" w:ascii="仿宋_GB2312" w:hAnsi="仿宋_GB2312"/>
      <w:color w:val="000000"/>
      <w:sz w:val="28"/>
      <w:szCs w:val="28"/>
    </w:rPr>
  </w:style>
  <w:style w:type="character" w:customStyle="1" w:styleId="12">
    <w:name w:val="fontstyle11"/>
    <w:basedOn w:val="7"/>
    <w:qFormat/>
    <w:uiPriority w:val="0"/>
    <w:rPr>
      <w:rFonts w:hint="default" w:ascii="TimesNewRomanPSMT" w:hAnsi="TimesNewRomanPSMT"/>
      <w:color w:val="000000"/>
      <w:sz w:val="28"/>
      <w:szCs w:val="28"/>
    </w:rPr>
  </w:style>
  <w:style w:type="character" w:customStyle="1" w:styleId="13">
    <w:name w:val="fontstyle31"/>
    <w:basedOn w:val="7"/>
    <w:qFormat/>
    <w:uiPriority w:val="0"/>
    <w:rPr>
      <w:rFonts w:hint="eastAsia" w:ascii="黑体" w:hAnsi="黑体" w:eastAsia="黑体"/>
      <w:color w:val="000000"/>
      <w:sz w:val="32"/>
      <w:szCs w:val="32"/>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5">
    <w:name w:val="Intense Reference"/>
    <w:basedOn w:val="7"/>
    <w:qFormat/>
    <w:uiPriority w:val="32"/>
    <w:rPr>
      <w:b/>
      <w:bCs/>
      <w:smallCaps/>
      <w:color w:val="C0504D" w:themeColor="accent2"/>
      <w:spacing w:val="5"/>
      <w:u w:val="single"/>
      <w14:textFill>
        <w14:solidFill>
          <w14:schemeClr w14:val="accent2"/>
        </w14:solidFill>
      </w14:textFill>
    </w:rPr>
  </w:style>
  <w:style w:type="character" w:customStyle="1" w:styleId="16">
    <w:name w:val="批注框文本 Char"/>
    <w:basedOn w:val="7"/>
    <w:link w:val="2"/>
    <w:semiHidden/>
    <w:qFormat/>
    <w:uiPriority w:val="0"/>
    <w:rPr>
      <w:kern w:val="2"/>
      <w:sz w:val="18"/>
      <w:szCs w:val="18"/>
    </w:rPr>
  </w:style>
  <w:style w:type="character" w:customStyle="1" w:styleId="17">
    <w:name w:val="fontstyle21"/>
    <w:basedOn w:val="7"/>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C4FF-7FED-4CB2-91A2-214E2F17810D}">
  <ds:schemaRefs/>
</ds:datastoreItem>
</file>

<file path=docProps/app.xml><?xml version="1.0" encoding="utf-8"?>
<Properties xmlns="http://schemas.openxmlformats.org/officeDocument/2006/extended-properties" xmlns:vt="http://schemas.openxmlformats.org/officeDocument/2006/docPropsVTypes">
  <Template>Normal</Template>
  <Pages>10</Pages>
  <Words>4412</Words>
  <Characters>4621</Characters>
  <Lines>20</Lines>
  <Paragraphs>5</Paragraphs>
  <TotalTime>924</TotalTime>
  <ScaleCrop>false</ScaleCrop>
  <LinksUpToDate>false</LinksUpToDate>
  <CharactersWithSpaces>4679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2018-10-24T01:46:00Z</dcterms:created>
  <dc:creator>lcl</dc:creator>
  <cp:lastModifiedBy>Administrator</cp:lastModifiedBy>
  <cp:lastPrinted>2019-11-05T01:52:00Z</cp:lastPrinted>
  <dcterms:modified xsi:type="dcterms:W3CDTF">2023-04-19T01:13:33Z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2EDC16FCA47D4AAD9EB574BEBD27EB23_13</vt:lpwstr>
  </property>
</Properties>
</file>